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3C172" w14:textId="4010405A" w:rsidR="00DE2CD5" w:rsidRPr="00202448" w:rsidRDefault="008F1924" w:rsidP="00DE2CD5">
      <w:pPr>
        <w:pStyle w:val="Titolo"/>
        <w:rPr>
          <w:lang w:val="fr-FR"/>
        </w:rPr>
      </w:pPr>
      <w:r w:rsidRPr="00202448">
        <w:rPr>
          <w:lang w:val="fr-FR"/>
        </w:rPr>
        <w:t>COMPOSANTE</w:t>
      </w:r>
      <w:r w:rsidR="00DE2CD5" w:rsidRPr="00202448">
        <w:rPr>
          <w:lang w:val="fr-FR"/>
        </w:rPr>
        <w:t xml:space="preserve"> </w:t>
      </w:r>
      <w:r w:rsidR="009E0CDB" w:rsidRPr="00202448">
        <w:rPr>
          <w:lang w:val="fr-FR"/>
        </w:rPr>
        <w:t>T2</w:t>
      </w:r>
    </w:p>
    <w:p w14:paraId="15F12189" w14:textId="7FE09CE3" w:rsidR="00DE2CD5" w:rsidRPr="00202448" w:rsidRDefault="005770F5" w:rsidP="00DE2CD5">
      <w:pPr>
        <w:pStyle w:val="Titolo"/>
        <w:rPr>
          <w:lang w:val="fr-FR"/>
        </w:rPr>
      </w:pPr>
      <w:r w:rsidRPr="00202448">
        <w:rPr>
          <w:rFonts w:ascii="Calibri" w:hAnsi="Calibri" w:cs="Calibri"/>
          <w:lang w:val="fr-FR"/>
        </w:rPr>
        <w:t>«</w:t>
      </w:r>
      <w:r w:rsidRPr="00202448">
        <w:rPr>
          <w:lang w:val="fr-FR"/>
        </w:rPr>
        <w:t xml:space="preserve"> </w:t>
      </w:r>
      <w:r w:rsidR="009E0CDB" w:rsidRPr="00202448">
        <w:rPr>
          <w:lang w:val="fr-FR"/>
        </w:rPr>
        <w:t xml:space="preserve">SERVICES AUX ENTREPRISES </w:t>
      </w:r>
      <w:r w:rsidR="009E0CDB" w:rsidRPr="00202448">
        <w:rPr>
          <w:rFonts w:ascii="Calibri" w:hAnsi="Calibri" w:cs="Calibri"/>
          <w:lang w:val="fr-FR"/>
        </w:rPr>
        <w:t>‒</w:t>
      </w:r>
      <w:r w:rsidR="009E0CDB" w:rsidRPr="00202448">
        <w:rPr>
          <w:lang w:val="fr-FR"/>
        </w:rPr>
        <w:t xml:space="preserve"> CONCOURS JEUNES ENTREPRISES : </w:t>
      </w:r>
      <w:r w:rsidRPr="00202448">
        <w:rPr>
          <w:lang w:val="fr-FR"/>
        </w:rPr>
        <w:t xml:space="preserve"> </w:t>
      </w:r>
      <w:r w:rsidR="009E0CDB" w:rsidRPr="00202448">
        <w:rPr>
          <w:lang w:val="fr-FR"/>
        </w:rPr>
        <w:t>FOURNITURE DE SERVICES POUR L'</w:t>
      </w:r>
      <w:r w:rsidR="009E0CDB" w:rsidRPr="00202448">
        <w:rPr>
          <w:rFonts w:ascii="Calibri" w:hAnsi="Calibri" w:cs="Calibri"/>
          <w:lang w:val="fr-FR"/>
        </w:rPr>
        <w:t>É</w:t>
      </w:r>
      <w:r w:rsidR="009E0CDB" w:rsidRPr="00202448">
        <w:rPr>
          <w:lang w:val="fr-FR"/>
        </w:rPr>
        <w:t xml:space="preserve">CONOMIE CIRCULAIRE </w:t>
      </w:r>
      <w:r w:rsidRPr="00202448">
        <w:rPr>
          <w:rFonts w:ascii="Calibri" w:hAnsi="Calibri" w:cs="Calibri"/>
          <w:lang w:val="fr-FR"/>
        </w:rPr>
        <w:t>»</w:t>
      </w:r>
    </w:p>
    <w:p w14:paraId="5EA0468E" w14:textId="77777777" w:rsidR="00DE2CD5" w:rsidRPr="00202448" w:rsidRDefault="00DE2CD5" w:rsidP="00DE2CD5">
      <w:pPr>
        <w:rPr>
          <w:lang w:val="fr-FR"/>
        </w:rPr>
      </w:pPr>
    </w:p>
    <w:p w14:paraId="45BFA1DB" w14:textId="16F35DE8" w:rsidR="00DE2CD5" w:rsidRPr="00202448" w:rsidRDefault="008F1924" w:rsidP="00DE2CD5">
      <w:pPr>
        <w:pStyle w:val="Titolo"/>
        <w:rPr>
          <w:lang w:val="fr-FR"/>
        </w:rPr>
      </w:pPr>
      <w:r w:rsidRPr="00202448">
        <w:rPr>
          <w:lang w:val="fr-FR"/>
        </w:rPr>
        <w:t xml:space="preserve">ACTIVITÉ </w:t>
      </w:r>
      <w:r w:rsidR="009E0CDB" w:rsidRPr="00202448">
        <w:rPr>
          <w:lang w:val="fr-FR"/>
        </w:rPr>
        <w:t>T2.3</w:t>
      </w:r>
    </w:p>
    <w:p w14:paraId="51B63893" w14:textId="77777777" w:rsidR="009E0CDB" w:rsidRPr="00202448" w:rsidRDefault="005770F5" w:rsidP="00DE2CD5">
      <w:pPr>
        <w:pStyle w:val="Titolo"/>
        <w:rPr>
          <w:lang w:val="fr-FR"/>
        </w:rPr>
      </w:pPr>
      <w:r w:rsidRPr="00202448">
        <w:rPr>
          <w:rFonts w:ascii="Calibri" w:hAnsi="Calibri" w:cs="Calibri"/>
          <w:lang w:val="fr-FR"/>
        </w:rPr>
        <w:t>«</w:t>
      </w:r>
      <w:r w:rsidRPr="00202448">
        <w:rPr>
          <w:lang w:val="fr-FR"/>
        </w:rPr>
        <w:t xml:space="preserve"> </w:t>
      </w:r>
      <w:r w:rsidR="009E0CDB" w:rsidRPr="00202448">
        <w:rPr>
          <w:lang w:val="fr-FR"/>
        </w:rPr>
        <w:t xml:space="preserve">Animation et facilitation </w:t>
      </w:r>
    </w:p>
    <w:p w14:paraId="63B13A74" w14:textId="5CA8C5B9" w:rsidR="00DE2CD5" w:rsidRPr="00202448" w:rsidRDefault="009E0CDB" w:rsidP="00DE2CD5">
      <w:pPr>
        <w:pStyle w:val="Titolo"/>
        <w:rPr>
          <w:lang w:val="fr-FR"/>
        </w:rPr>
      </w:pPr>
      <w:proofErr w:type="gramStart"/>
      <w:r w:rsidRPr="00202448">
        <w:rPr>
          <w:lang w:val="fr-FR"/>
        </w:rPr>
        <w:t>du</w:t>
      </w:r>
      <w:proofErr w:type="gramEnd"/>
      <w:r w:rsidRPr="00202448">
        <w:rPr>
          <w:lang w:val="fr-FR"/>
        </w:rPr>
        <w:t xml:space="preserve"> Concours Jeunes Entreprises de l'Économie Circulaire</w:t>
      </w:r>
      <w:r w:rsidR="005770F5" w:rsidRPr="00202448">
        <w:rPr>
          <w:lang w:val="fr-FR"/>
        </w:rPr>
        <w:t xml:space="preserve"> </w:t>
      </w:r>
      <w:r w:rsidR="005770F5" w:rsidRPr="00202448">
        <w:rPr>
          <w:rFonts w:ascii="Calibri" w:hAnsi="Calibri" w:cs="Calibri"/>
          <w:lang w:val="fr-FR"/>
        </w:rPr>
        <w:t>»</w:t>
      </w:r>
    </w:p>
    <w:p w14:paraId="211C6390" w14:textId="77777777" w:rsidR="00DE2CD5" w:rsidRPr="00202448" w:rsidRDefault="00DE2CD5" w:rsidP="00DE2CD5">
      <w:pPr>
        <w:rPr>
          <w:lang w:val="fr-FR"/>
        </w:rPr>
      </w:pPr>
    </w:p>
    <w:p w14:paraId="5924429C" w14:textId="5C39E8CC" w:rsidR="00DE2CD5" w:rsidRPr="00202448" w:rsidRDefault="00D67BFE" w:rsidP="00DE2CD5">
      <w:pPr>
        <w:pStyle w:val="Titolo"/>
        <w:rPr>
          <w:lang w:val="fr-FR"/>
        </w:rPr>
      </w:pPr>
      <w:r w:rsidRPr="00202448">
        <w:rPr>
          <w:lang w:val="fr-FR"/>
        </w:rPr>
        <w:t>LIVRABLE</w:t>
      </w:r>
      <w:r w:rsidR="00DE2CD5" w:rsidRPr="00202448">
        <w:rPr>
          <w:lang w:val="fr-FR"/>
        </w:rPr>
        <w:t xml:space="preserve"> </w:t>
      </w:r>
      <w:r w:rsidR="009E0CDB" w:rsidRPr="00202448">
        <w:rPr>
          <w:lang w:val="fr-FR"/>
        </w:rPr>
        <w:t>T2.3.1</w:t>
      </w:r>
    </w:p>
    <w:p w14:paraId="5F1C3675" w14:textId="701DDEA4" w:rsidR="00DE2CD5" w:rsidRPr="00202448" w:rsidRDefault="009E0CDB" w:rsidP="00D349C3">
      <w:pPr>
        <w:jc w:val="center"/>
        <w:rPr>
          <w:lang w:val="fr-FR"/>
        </w:rPr>
      </w:pPr>
      <w:r w:rsidRPr="00202448">
        <w:rPr>
          <w:rFonts w:ascii="Montserrat" w:eastAsiaTheme="majorEastAsia" w:hAnsi="Montserrat" w:cstheme="majorBidi"/>
          <w:color w:val="0070C0"/>
          <w:spacing w:val="-10"/>
          <w:kern w:val="28"/>
          <w:sz w:val="36"/>
          <w:szCs w:val="56"/>
          <w:lang w:val="fr-FR"/>
        </w:rPr>
        <w:t>A</w:t>
      </w:r>
      <w:r w:rsidR="00AC1A3A" w:rsidRPr="00202448">
        <w:rPr>
          <w:rFonts w:ascii="Montserrat" w:eastAsiaTheme="majorEastAsia" w:hAnsi="Montserrat" w:cstheme="majorBidi"/>
          <w:color w:val="0070C0"/>
          <w:spacing w:val="-10"/>
          <w:kern w:val="28"/>
          <w:sz w:val="36"/>
          <w:szCs w:val="56"/>
          <w:lang w:val="fr-FR"/>
        </w:rPr>
        <w:t>vis</w:t>
      </w:r>
      <w:r w:rsidRPr="00202448">
        <w:rPr>
          <w:rFonts w:ascii="Montserrat" w:eastAsiaTheme="majorEastAsia" w:hAnsi="Montserrat" w:cstheme="majorBidi"/>
          <w:color w:val="0070C0"/>
          <w:spacing w:val="-10"/>
          <w:kern w:val="28"/>
          <w:sz w:val="36"/>
          <w:szCs w:val="56"/>
          <w:lang w:val="fr-FR"/>
        </w:rPr>
        <w:t xml:space="preserve"> conjoint de la Call for </w:t>
      </w:r>
      <w:proofErr w:type="spellStart"/>
      <w:r w:rsidRPr="00202448">
        <w:rPr>
          <w:rFonts w:ascii="Montserrat" w:eastAsiaTheme="majorEastAsia" w:hAnsi="Montserrat" w:cstheme="majorBidi"/>
          <w:color w:val="0070C0"/>
          <w:spacing w:val="-10"/>
          <w:kern w:val="28"/>
          <w:sz w:val="36"/>
          <w:szCs w:val="56"/>
          <w:lang w:val="fr-FR"/>
        </w:rPr>
        <w:t>Ideas&amp;Needs</w:t>
      </w:r>
      <w:proofErr w:type="spellEnd"/>
    </w:p>
    <w:p w14:paraId="586213E6" w14:textId="77777777" w:rsidR="00DE2CD5" w:rsidRPr="00202448" w:rsidRDefault="00DE2CD5" w:rsidP="001C4456">
      <w:pPr>
        <w:rPr>
          <w:lang w:val="fr-FR"/>
        </w:rPr>
      </w:pPr>
    </w:p>
    <w:p w14:paraId="45A23FE3" w14:textId="77777777" w:rsidR="00DE2CD5" w:rsidRPr="00202448" w:rsidRDefault="00DE2CD5" w:rsidP="001C4456">
      <w:pPr>
        <w:rPr>
          <w:lang w:val="fr-FR"/>
        </w:rPr>
      </w:pPr>
    </w:p>
    <w:p w14:paraId="7C79BF6D" w14:textId="77777777" w:rsidR="00DE2CD5" w:rsidRPr="00202448" w:rsidRDefault="00DE2CD5" w:rsidP="001C4456">
      <w:pPr>
        <w:rPr>
          <w:lang w:val="fr-FR"/>
        </w:rPr>
      </w:pPr>
    </w:p>
    <w:p w14:paraId="65B1C23D" w14:textId="77777777" w:rsidR="00DE2CD5" w:rsidRPr="00202448" w:rsidRDefault="00DE2CD5" w:rsidP="001C4456">
      <w:pPr>
        <w:rPr>
          <w:lang w:val="fr-FR"/>
        </w:rPr>
      </w:pPr>
    </w:p>
    <w:p w14:paraId="6F7591EC" w14:textId="77777777" w:rsidR="00DE2CD5" w:rsidRPr="00202448" w:rsidRDefault="00DE2CD5" w:rsidP="001C4456">
      <w:pPr>
        <w:rPr>
          <w:lang w:val="fr-FR"/>
        </w:rPr>
      </w:pPr>
    </w:p>
    <w:p w14:paraId="0C6BFCEE" w14:textId="77777777" w:rsidR="00DE2CD5" w:rsidRPr="00202448" w:rsidRDefault="00DE2CD5" w:rsidP="001C4456">
      <w:pPr>
        <w:rPr>
          <w:lang w:val="fr-FR"/>
        </w:rPr>
      </w:pPr>
    </w:p>
    <w:p w14:paraId="25D2E30C" w14:textId="77777777" w:rsidR="00DE2CD5" w:rsidRPr="00202448" w:rsidRDefault="00DE2CD5" w:rsidP="001C4456">
      <w:pPr>
        <w:rPr>
          <w:lang w:val="fr-FR"/>
        </w:rPr>
      </w:pPr>
    </w:p>
    <w:p w14:paraId="265CF9C2" w14:textId="4235EC70" w:rsidR="00CF0CC8" w:rsidRPr="00202448" w:rsidRDefault="00CF0CC8" w:rsidP="001C4456">
      <w:pPr>
        <w:rPr>
          <w:lang w:val="fr-FR"/>
        </w:rPr>
      </w:pPr>
      <w:r w:rsidRPr="00202448">
        <w:rPr>
          <w:lang w:val="fr-FR"/>
        </w:rPr>
        <w:t>Parte</w:t>
      </w:r>
      <w:r w:rsidR="008F1924" w:rsidRPr="00202448">
        <w:rPr>
          <w:lang w:val="fr-FR"/>
        </w:rPr>
        <w:t>naire</w:t>
      </w:r>
      <w:r w:rsidRPr="00202448">
        <w:rPr>
          <w:lang w:val="fr-FR"/>
        </w:rPr>
        <w:t xml:space="preserve"> </w:t>
      </w:r>
      <w:r w:rsidR="003B0A28" w:rsidRPr="00202448">
        <w:rPr>
          <w:lang w:val="fr-FR"/>
        </w:rPr>
        <w:t>responsable :</w:t>
      </w:r>
      <w:r w:rsidRPr="00202448">
        <w:rPr>
          <w:lang w:val="fr-FR"/>
        </w:rPr>
        <w:t xml:space="preserve"> </w:t>
      </w:r>
      <w:r w:rsidR="009E0CDB" w:rsidRPr="00202448">
        <w:rPr>
          <w:lang w:val="fr-FR"/>
        </w:rPr>
        <w:t>INNOLABS</w:t>
      </w:r>
    </w:p>
    <w:p w14:paraId="2F18A17E" w14:textId="601FE235" w:rsidR="009E0CDB" w:rsidRPr="00202448" w:rsidRDefault="009E0CDB" w:rsidP="00D05EB2">
      <w:pPr>
        <w:rPr>
          <w:lang w:val="fr-FR"/>
        </w:rPr>
        <w:sectPr w:rsidR="009E0CDB" w:rsidRPr="00202448" w:rsidSect="004B3636">
          <w:headerReference w:type="default" r:id="rId7"/>
          <w:footerReference w:type="even" r:id="rId8"/>
          <w:footerReference w:type="default" r:id="rId9"/>
          <w:pgSz w:w="11910" w:h="16840"/>
          <w:pgMar w:top="851" w:right="851" w:bottom="851" w:left="851" w:header="0" w:footer="1418" w:gutter="0"/>
          <w:cols w:space="720"/>
          <w:docGrid w:linePitch="299"/>
        </w:sectPr>
      </w:pPr>
    </w:p>
    <w:p w14:paraId="75E693A7" w14:textId="77777777" w:rsidR="00AC1A3A" w:rsidRPr="00202448" w:rsidRDefault="00AC1A3A" w:rsidP="00AC1A3A">
      <w:pPr>
        <w:spacing w:before="120" w:after="120"/>
        <w:rPr>
          <w:lang w:val="fr-FR"/>
        </w:rPr>
      </w:pPr>
      <w:r w:rsidRPr="00202448">
        <w:rPr>
          <w:b/>
          <w:bCs/>
          <w:lang w:val="fr-FR"/>
        </w:rPr>
        <w:lastRenderedPageBreak/>
        <w:t xml:space="preserve">ART.1 Contexte </w:t>
      </w:r>
    </w:p>
    <w:p w14:paraId="29BB5286" w14:textId="77777777" w:rsidR="00AC1A3A" w:rsidRPr="00202448" w:rsidRDefault="00AC1A3A" w:rsidP="00451601">
      <w:pPr>
        <w:spacing w:before="120" w:after="120"/>
        <w:rPr>
          <w:lang w:val="fr-FR"/>
        </w:rPr>
      </w:pPr>
      <w:r w:rsidRPr="00202448">
        <w:rPr>
          <w:lang w:val="fr-FR"/>
        </w:rPr>
        <w:t xml:space="preserve">ECO-CIRCuS est un projet financé par le Programme de coopération territoriale </w:t>
      </w:r>
      <w:proofErr w:type="spellStart"/>
      <w:r w:rsidRPr="00202448">
        <w:rPr>
          <w:lang w:val="fr-FR"/>
        </w:rPr>
        <w:t>Interreg</w:t>
      </w:r>
      <w:proofErr w:type="spellEnd"/>
      <w:r w:rsidRPr="00202448">
        <w:rPr>
          <w:lang w:val="fr-FR"/>
        </w:rPr>
        <w:t xml:space="preserve"> </w:t>
      </w:r>
      <w:proofErr w:type="spellStart"/>
      <w:r w:rsidRPr="00202448">
        <w:rPr>
          <w:lang w:val="fr-FR"/>
        </w:rPr>
        <w:t>Marittimo</w:t>
      </w:r>
      <w:proofErr w:type="spellEnd"/>
      <w:r w:rsidRPr="00202448">
        <w:rPr>
          <w:lang w:val="fr-FR"/>
        </w:rPr>
        <w:t xml:space="preserve"> Italie-France 2014-2020, dont l'objectif est d'accroître au niveau transfrontalier le tissu des TPE et PME des </w:t>
      </w:r>
      <w:hyperlink r:id="rId10" w:history="1">
        <w:r w:rsidRPr="00202448">
          <w:rPr>
            <w:rStyle w:val="Collegamentoipertestuale"/>
            <w:lang w:val="fr-FR"/>
          </w:rPr>
          <w:t>filières prioritaires</w:t>
        </w:r>
      </w:hyperlink>
      <w:r w:rsidRPr="00202448">
        <w:rPr>
          <w:lang w:val="fr-FR"/>
        </w:rPr>
        <w:t xml:space="preserve"> liées à la croissance bleue et verte, et d'améliorer le savoir-faire et les compétences entrepreneuriales et professionnelles grâce à des services de tutorat et de coaching qui soutiennent les entreprises dans l’évolution vers l'économie circulaire.</w:t>
      </w:r>
    </w:p>
    <w:p w14:paraId="1259A50A" w14:textId="77777777" w:rsidR="00AC1A3A" w:rsidRPr="00202448" w:rsidRDefault="00AC1A3A" w:rsidP="00451601">
      <w:pPr>
        <w:spacing w:before="120" w:after="120"/>
        <w:rPr>
          <w:lang w:val="fr-FR"/>
        </w:rPr>
      </w:pPr>
      <w:r w:rsidRPr="00202448">
        <w:rPr>
          <w:lang w:val="fr-FR"/>
        </w:rPr>
        <w:t xml:space="preserve">Coordonnés par le CENTRO SERVIZI PROMOZIONALI PER LE IMPRESE (Sardaigne), Chef de file, sont impliqués en tant que partenaires dans le projet ECO-CIRCuS : CENTRO SPERIMENTAZIONE E ASSISTENZA AGRICOLA (Ligurie), SCUOLA SUPERIORE DI STUDI UNIVERSITARI E DI PERFEZIONAMENTO SANT’ANNA – ISTITUTO DI BIOROBOTICA (Toscane), CHAMBRE DE COMMERCE ET D’INDUSTRIE DE LA HAUTE-CORSE (Corse), CHAMBRE DE COMMERCE ET D’INDUSTRIE DU VAR (Var), INNOLABS SRL (Toscane). </w:t>
      </w:r>
    </w:p>
    <w:p w14:paraId="141D399E" w14:textId="77777777" w:rsidR="00AC1A3A" w:rsidRPr="00202448" w:rsidRDefault="00AC1A3A" w:rsidP="00451601">
      <w:pPr>
        <w:spacing w:before="120" w:after="120"/>
        <w:rPr>
          <w:lang w:val="fr-FR"/>
        </w:rPr>
      </w:pPr>
      <w:r w:rsidRPr="00202448">
        <w:rPr>
          <w:lang w:val="fr-FR"/>
        </w:rPr>
        <w:t>Sur la base d'une analyse des besoins effectuée sur chaque territoire, les partenaires ont élaboré un parcours nommé « Concours Jeunes Entreprises de l’Économie Circulaire » correspondant aux services transfrontaliers dont les candidats bénéficieront, à savoir :</w:t>
      </w:r>
    </w:p>
    <w:p w14:paraId="403812BA" w14:textId="77777777" w:rsidR="00AC1A3A" w:rsidRPr="00202448" w:rsidRDefault="00AC1A3A" w:rsidP="00451601">
      <w:pPr>
        <w:pStyle w:val="Paragrafoelenco"/>
        <w:numPr>
          <w:ilvl w:val="0"/>
          <w:numId w:val="35"/>
        </w:numPr>
        <w:spacing w:before="120" w:after="120"/>
        <w:rPr>
          <w:lang w:val="fr-FR"/>
        </w:rPr>
      </w:pPr>
      <w:r w:rsidRPr="00202448">
        <w:rPr>
          <w:lang w:val="fr-FR"/>
        </w:rPr>
        <w:t>Séances de tutorat ;</w:t>
      </w:r>
    </w:p>
    <w:p w14:paraId="4233497B" w14:textId="77777777" w:rsidR="00AC1A3A" w:rsidRPr="00202448" w:rsidRDefault="00AC1A3A" w:rsidP="00451601">
      <w:pPr>
        <w:pStyle w:val="Paragrafoelenco"/>
        <w:numPr>
          <w:ilvl w:val="0"/>
          <w:numId w:val="35"/>
        </w:numPr>
        <w:spacing w:before="120" w:after="120"/>
        <w:rPr>
          <w:lang w:val="fr-FR"/>
        </w:rPr>
      </w:pPr>
      <w:r w:rsidRPr="00202448">
        <w:rPr>
          <w:lang w:val="fr-FR"/>
        </w:rPr>
        <w:t>Séances de coaching ;</w:t>
      </w:r>
    </w:p>
    <w:p w14:paraId="4496BA57" w14:textId="77777777" w:rsidR="00AC1A3A" w:rsidRPr="00202448" w:rsidRDefault="00AC1A3A" w:rsidP="00451601">
      <w:pPr>
        <w:pStyle w:val="Paragrafoelenco"/>
        <w:numPr>
          <w:ilvl w:val="0"/>
          <w:numId w:val="35"/>
        </w:numPr>
        <w:spacing w:before="120" w:after="120"/>
        <w:rPr>
          <w:lang w:val="fr-FR"/>
        </w:rPr>
      </w:pPr>
      <w:proofErr w:type="spellStart"/>
      <w:r w:rsidRPr="00202448">
        <w:rPr>
          <w:lang w:val="fr-FR"/>
        </w:rPr>
        <w:t>Pitching</w:t>
      </w:r>
      <w:proofErr w:type="spellEnd"/>
      <w:r w:rsidRPr="00202448">
        <w:rPr>
          <w:lang w:val="fr-FR"/>
        </w:rPr>
        <w:t xml:space="preserve"> Day ;</w:t>
      </w:r>
    </w:p>
    <w:p w14:paraId="65778075" w14:textId="77777777" w:rsidR="00AC1A3A" w:rsidRPr="00202448" w:rsidRDefault="00AC1A3A" w:rsidP="00451601">
      <w:pPr>
        <w:pStyle w:val="Paragrafoelenco"/>
        <w:numPr>
          <w:ilvl w:val="0"/>
          <w:numId w:val="35"/>
        </w:numPr>
        <w:spacing w:before="120" w:after="120"/>
        <w:rPr>
          <w:lang w:val="fr-FR"/>
        </w:rPr>
      </w:pPr>
      <w:r w:rsidRPr="00202448">
        <w:rPr>
          <w:lang w:val="fr-FR"/>
        </w:rPr>
        <w:t>Prix.</w:t>
      </w:r>
    </w:p>
    <w:p w14:paraId="3487F513" w14:textId="2E480E8B" w:rsidR="00AC1A3A" w:rsidRPr="00202448" w:rsidRDefault="00AC1A3A" w:rsidP="00451601">
      <w:pPr>
        <w:spacing w:before="120" w:after="120"/>
        <w:rPr>
          <w:lang w:val="fr-FR"/>
        </w:rPr>
      </w:pPr>
      <w:r w:rsidRPr="00202448">
        <w:rPr>
          <w:lang w:val="fr-FR"/>
        </w:rPr>
        <w:t>En particulier, le « Concours Jeunes Entreprises de l'</w:t>
      </w:r>
      <w:r w:rsidRPr="00202448">
        <w:rPr>
          <w:rFonts w:ascii="Calibri" w:hAnsi="Calibri" w:cs="Calibri"/>
          <w:lang w:val="fr-FR"/>
        </w:rPr>
        <w:t>É</w:t>
      </w:r>
      <w:r w:rsidRPr="00202448">
        <w:rPr>
          <w:lang w:val="fr-FR"/>
        </w:rPr>
        <w:t>conomie Circulaire » vise à encourager le développement de nouveaux modèles économiques circulaires accessibles aux micros et petites entreprises, tels que les processus de transformation créative (nouveaux processus/produits/services</w:t>
      </w:r>
      <w:r w:rsidR="00451601" w:rsidRPr="00202448">
        <w:rPr>
          <w:lang w:val="fr-FR"/>
        </w:rPr>
        <w:t> </w:t>
      </w:r>
      <w:r w:rsidRPr="00202448">
        <w:rPr>
          <w:lang w:val="fr-FR"/>
        </w:rPr>
        <w:t>; amélioration et innovation des processus/produits/services utilisés) pour la réutilisation des déchets et/ou la réduction de l'utilisation des ressources.</w:t>
      </w:r>
    </w:p>
    <w:p w14:paraId="30DCCDAD" w14:textId="347B4739" w:rsidR="00290899" w:rsidRPr="00202448" w:rsidRDefault="00AC1A3A" w:rsidP="00AC1A3A">
      <w:pPr>
        <w:rPr>
          <w:b/>
          <w:bCs/>
          <w:lang w:val="fr-FR"/>
        </w:rPr>
      </w:pPr>
      <w:r w:rsidRPr="00202448">
        <w:rPr>
          <w:b/>
          <w:bCs/>
          <w:lang w:val="fr-FR"/>
        </w:rPr>
        <w:t>ART.2 Objectifs</w:t>
      </w:r>
    </w:p>
    <w:p w14:paraId="57278291" w14:textId="30F470F2" w:rsidR="00AC1A3A" w:rsidRPr="00202448" w:rsidRDefault="00AC1A3A" w:rsidP="00451601">
      <w:pPr>
        <w:spacing w:before="120" w:after="120"/>
        <w:rPr>
          <w:lang w:val="fr-FR"/>
        </w:rPr>
      </w:pPr>
      <w:r w:rsidRPr="00202448">
        <w:rPr>
          <w:lang w:val="fr-FR"/>
        </w:rPr>
        <w:t xml:space="preserve">Cet avis a pour but de sélectionner 25 « jeunes » TPE ou PME (5 de la Sardaigne, 5 de la Ligurie, 5 de la Toscane, 5 de la Corse et 5 du Var), ayant des projets/initiatives pour le développement </w:t>
      </w:r>
      <w:r w:rsidR="00235074" w:rsidRPr="00202448">
        <w:rPr>
          <w:lang w:val="fr-FR"/>
        </w:rPr>
        <w:t xml:space="preserve">de modèles </w:t>
      </w:r>
      <w:r w:rsidR="001A13DE" w:rsidRPr="00202448">
        <w:rPr>
          <w:lang w:val="fr-FR"/>
        </w:rPr>
        <w:t>économique</w:t>
      </w:r>
      <w:r w:rsidR="00235074" w:rsidRPr="00202448">
        <w:rPr>
          <w:lang w:val="fr-FR"/>
        </w:rPr>
        <w:t>s</w:t>
      </w:r>
      <w:r w:rsidR="001A13DE" w:rsidRPr="00202448">
        <w:rPr>
          <w:lang w:val="fr-FR"/>
        </w:rPr>
        <w:t xml:space="preserve"> </w:t>
      </w:r>
      <w:r w:rsidRPr="00202448">
        <w:rPr>
          <w:lang w:val="fr-FR"/>
        </w:rPr>
        <w:t>circulair</w:t>
      </w:r>
      <w:r w:rsidR="001A13DE" w:rsidRPr="00202448">
        <w:rPr>
          <w:lang w:val="fr-FR"/>
        </w:rPr>
        <w:t>e</w:t>
      </w:r>
      <w:r w:rsidR="00235074" w:rsidRPr="00202448">
        <w:rPr>
          <w:lang w:val="fr-FR"/>
        </w:rPr>
        <w:t>s</w:t>
      </w:r>
      <w:r w:rsidRPr="00202448">
        <w:rPr>
          <w:lang w:val="fr-FR"/>
        </w:rPr>
        <w:t xml:space="preserve"> visant à accro</w:t>
      </w:r>
      <w:r w:rsidRPr="00202448">
        <w:rPr>
          <w:rFonts w:ascii="Segoe UI" w:hAnsi="Segoe UI" w:cs="Segoe UI"/>
          <w:lang w:val="fr-FR"/>
        </w:rPr>
        <w:t>î</w:t>
      </w:r>
      <w:r w:rsidRPr="00202448">
        <w:rPr>
          <w:lang w:val="fr-FR"/>
        </w:rPr>
        <w:t xml:space="preserve">tre directement ou indirectement la compétitivité des filières prioritaires du programme transfrontalier. </w:t>
      </w:r>
    </w:p>
    <w:p w14:paraId="7078E76C" w14:textId="45572B40" w:rsidR="00AC1A3A" w:rsidRPr="00202448" w:rsidRDefault="00AC1A3A" w:rsidP="00451601">
      <w:pPr>
        <w:spacing w:before="120" w:after="120"/>
        <w:rPr>
          <w:lang w:val="fr-FR"/>
        </w:rPr>
      </w:pPr>
      <w:r w:rsidRPr="00202448">
        <w:rPr>
          <w:lang w:val="fr-FR"/>
        </w:rPr>
        <w:t xml:space="preserve">Les entreprises sélectionnées seront </w:t>
      </w:r>
      <w:r w:rsidR="008B7763" w:rsidRPr="00202448">
        <w:rPr>
          <w:lang w:val="fr-FR"/>
        </w:rPr>
        <w:t xml:space="preserve">introduites dans le parcours du </w:t>
      </w:r>
      <w:r w:rsidR="00DA5FF5" w:rsidRPr="00202448">
        <w:rPr>
          <w:lang w:val="fr-FR"/>
        </w:rPr>
        <w:t>« </w:t>
      </w:r>
      <w:r w:rsidR="008B7763" w:rsidRPr="00202448">
        <w:rPr>
          <w:lang w:val="fr-FR"/>
        </w:rPr>
        <w:t>Concours Jeunes Entreprises de l’</w:t>
      </w:r>
      <w:r w:rsidR="008B7763" w:rsidRPr="00202448">
        <w:rPr>
          <w:rFonts w:ascii="Calibri" w:hAnsi="Calibri"/>
          <w:lang w:val="fr-FR"/>
        </w:rPr>
        <w:t>É</w:t>
      </w:r>
      <w:r w:rsidR="008B7763" w:rsidRPr="00202448">
        <w:rPr>
          <w:lang w:val="fr-FR"/>
        </w:rPr>
        <w:t>conomie Circulaire</w:t>
      </w:r>
      <w:r w:rsidR="00DA5FF5" w:rsidRPr="00202448">
        <w:rPr>
          <w:lang w:val="fr-FR"/>
        </w:rPr>
        <w:t> »</w:t>
      </w:r>
      <w:r w:rsidR="008B7763" w:rsidRPr="00202448">
        <w:rPr>
          <w:lang w:val="fr-FR"/>
        </w:rPr>
        <w:t>, au long duquel les experts identifiés par chaque partenaire fourniront des services qualifiés :</w:t>
      </w:r>
    </w:p>
    <w:p w14:paraId="37A3FC90" w14:textId="5E41A24A" w:rsidR="008B7763" w:rsidRPr="00202448" w:rsidRDefault="008B7763" w:rsidP="00451601">
      <w:pPr>
        <w:pStyle w:val="Paragrafoelenco"/>
        <w:numPr>
          <w:ilvl w:val="0"/>
          <w:numId w:val="29"/>
        </w:numPr>
        <w:spacing w:before="120" w:after="120"/>
        <w:rPr>
          <w:lang w:val="fr-FR"/>
        </w:rPr>
      </w:pPr>
      <w:r w:rsidRPr="00202448">
        <w:rPr>
          <w:lang w:val="fr-FR"/>
        </w:rPr>
        <w:t>Soutien stratégique pour l’amélioration dans le domaine de l’économie circulaire (par des séances de tutorat) ;</w:t>
      </w:r>
    </w:p>
    <w:p w14:paraId="241EE0EF" w14:textId="51ECD745" w:rsidR="008B7763" w:rsidRPr="00202448" w:rsidRDefault="008B7763" w:rsidP="00451601">
      <w:pPr>
        <w:pStyle w:val="Paragrafoelenco"/>
        <w:numPr>
          <w:ilvl w:val="0"/>
          <w:numId w:val="29"/>
        </w:numPr>
        <w:spacing w:before="120" w:after="120"/>
        <w:rPr>
          <w:lang w:val="fr-FR"/>
        </w:rPr>
      </w:pPr>
      <w:r w:rsidRPr="00202448">
        <w:rPr>
          <w:lang w:val="fr-FR"/>
        </w:rPr>
        <w:t>Accompagnement dans le développement d’un plan d’affaires circulaire (par des séances de coaching).</w:t>
      </w:r>
    </w:p>
    <w:p w14:paraId="7E5336EC" w14:textId="77777777" w:rsidR="00BC53EC" w:rsidRPr="00202448" w:rsidRDefault="00BC53EC" w:rsidP="008B7763">
      <w:pPr>
        <w:rPr>
          <w:b/>
          <w:bCs/>
          <w:lang w:val="fr-FR"/>
        </w:rPr>
      </w:pPr>
    </w:p>
    <w:p w14:paraId="060B4145" w14:textId="2D284E5E" w:rsidR="008B7763" w:rsidRPr="00202448" w:rsidRDefault="008B7763" w:rsidP="008B7763">
      <w:pPr>
        <w:rPr>
          <w:b/>
          <w:bCs/>
          <w:lang w:val="fr-FR"/>
        </w:rPr>
      </w:pPr>
      <w:r w:rsidRPr="00202448">
        <w:rPr>
          <w:b/>
          <w:bCs/>
          <w:lang w:val="fr-FR"/>
        </w:rPr>
        <w:lastRenderedPageBreak/>
        <w:t>ART. 3 Destinataires de l’avis et conditions de participation</w:t>
      </w:r>
    </w:p>
    <w:p w14:paraId="5F58095F" w14:textId="7A5878ED" w:rsidR="008B7763" w:rsidRPr="00202448" w:rsidRDefault="001A13DE" w:rsidP="00451601">
      <w:pPr>
        <w:spacing w:before="120" w:after="120"/>
        <w:rPr>
          <w:lang w:val="fr-FR"/>
        </w:rPr>
      </w:pPr>
      <w:r w:rsidRPr="00202448">
        <w:rPr>
          <w:lang w:val="fr-FR"/>
        </w:rPr>
        <w:t xml:space="preserve">Peuvent prétendre à la participation au </w:t>
      </w:r>
      <w:r w:rsidR="00451601" w:rsidRPr="00202448">
        <w:rPr>
          <w:lang w:val="fr-FR"/>
        </w:rPr>
        <w:t>« </w:t>
      </w:r>
      <w:r w:rsidRPr="00202448">
        <w:rPr>
          <w:lang w:val="fr-FR"/>
        </w:rPr>
        <w:t>Concours Jeunes Entreprises de l’</w:t>
      </w:r>
      <w:r w:rsidRPr="00202448">
        <w:rPr>
          <w:rFonts w:ascii="Calibri" w:hAnsi="Calibri"/>
          <w:lang w:val="fr-FR"/>
        </w:rPr>
        <w:t>É</w:t>
      </w:r>
      <w:r w:rsidRPr="00202448">
        <w:rPr>
          <w:lang w:val="fr-FR"/>
        </w:rPr>
        <w:t>conomie Circulaire</w:t>
      </w:r>
      <w:r w:rsidR="00451601" w:rsidRPr="00202448">
        <w:rPr>
          <w:lang w:val="fr-FR"/>
        </w:rPr>
        <w:t> »</w:t>
      </w:r>
      <w:r w:rsidRPr="00202448">
        <w:rPr>
          <w:lang w:val="fr-FR"/>
        </w:rPr>
        <w:t xml:space="preserve"> les nouvelles entreprises et les entreprises innovantes ayant projets de développement </w:t>
      </w:r>
      <w:r w:rsidR="00235074" w:rsidRPr="00202448">
        <w:rPr>
          <w:lang w:val="fr-FR"/>
        </w:rPr>
        <w:t xml:space="preserve">de modèles </w:t>
      </w:r>
      <w:r w:rsidRPr="00202448">
        <w:rPr>
          <w:lang w:val="fr-FR"/>
        </w:rPr>
        <w:t xml:space="preserve">d’affaires circulaires </w:t>
      </w:r>
      <w:r w:rsidR="00235074" w:rsidRPr="00202448">
        <w:rPr>
          <w:lang w:val="fr-FR"/>
        </w:rPr>
        <w:t>visant à accro</w:t>
      </w:r>
      <w:r w:rsidR="00235074" w:rsidRPr="00202448">
        <w:rPr>
          <w:rFonts w:ascii="Segoe UI" w:hAnsi="Segoe UI" w:cs="Segoe UI"/>
          <w:lang w:val="fr-FR"/>
        </w:rPr>
        <w:t>î</w:t>
      </w:r>
      <w:r w:rsidR="00235074" w:rsidRPr="00202448">
        <w:rPr>
          <w:lang w:val="fr-FR"/>
        </w:rPr>
        <w:t xml:space="preserve">tre directement ou indirectement la compétitivité des </w:t>
      </w:r>
      <w:hyperlink r:id="rId11" w:history="1">
        <w:r w:rsidR="00235074" w:rsidRPr="00202448">
          <w:rPr>
            <w:rStyle w:val="Collegamentoipertestuale"/>
            <w:lang w:val="fr-FR"/>
          </w:rPr>
          <w:t>filières prioritaires</w:t>
        </w:r>
      </w:hyperlink>
      <w:r w:rsidR="00235074" w:rsidRPr="00202448">
        <w:rPr>
          <w:lang w:val="fr-FR"/>
        </w:rPr>
        <w:t xml:space="preserve"> du Programme :</w:t>
      </w:r>
    </w:p>
    <w:p w14:paraId="24EDC4CB" w14:textId="501C86F3" w:rsidR="00235074" w:rsidRPr="00202448" w:rsidRDefault="00235074" w:rsidP="00451601">
      <w:pPr>
        <w:pStyle w:val="Paragrafoelenco"/>
        <w:numPr>
          <w:ilvl w:val="0"/>
          <w:numId w:val="29"/>
        </w:numPr>
        <w:spacing w:before="120" w:after="120"/>
        <w:rPr>
          <w:lang w:val="fr-FR"/>
        </w:rPr>
      </w:pPr>
      <w:r w:rsidRPr="00202448">
        <w:rPr>
          <w:lang w:val="fr-FR"/>
        </w:rPr>
        <w:t>Nautisme et construction navale ;</w:t>
      </w:r>
    </w:p>
    <w:p w14:paraId="717205E5" w14:textId="41C6AB5F" w:rsidR="00235074" w:rsidRPr="00202448" w:rsidRDefault="00235074" w:rsidP="00451601">
      <w:pPr>
        <w:pStyle w:val="Paragrafoelenco"/>
        <w:numPr>
          <w:ilvl w:val="0"/>
          <w:numId w:val="29"/>
        </w:numPr>
        <w:spacing w:before="120" w:after="120"/>
        <w:rPr>
          <w:lang w:val="fr-FR"/>
        </w:rPr>
      </w:pPr>
      <w:r w:rsidRPr="00202448">
        <w:rPr>
          <w:lang w:val="fr-FR"/>
        </w:rPr>
        <w:t>Tourisme innovante et durable ;</w:t>
      </w:r>
    </w:p>
    <w:p w14:paraId="7DA93C17" w14:textId="4B0E4F7A" w:rsidR="00235074" w:rsidRPr="00202448" w:rsidRDefault="00235074" w:rsidP="00451601">
      <w:pPr>
        <w:pStyle w:val="Paragrafoelenco"/>
        <w:numPr>
          <w:ilvl w:val="0"/>
          <w:numId w:val="29"/>
        </w:numPr>
        <w:spacing w:before="120" w:after="120"/>
        <w:rPr>
          <w:lang w:val="fr-FR"/>
        </w:rPr>
      </w:pPr>
      <w:r w:rsidRPr="00202448">
        <w:rPr>
          <w:lang w:val="fr-FR"/>
        </w:rPr>
        <w:t>Biotechnologies « bleues » et « vertes » ;</w:t>
      </w:r>
    </w:p>
    <w:p w14:paraId="16E95206" w14:textId="5990A762" w:rsidR="00235074" w:rsidRPr="00202448" w:rsidRDefault="00235074" w:rsidP="00451601">
      <w:pPr>
        <w:pStyle w:val="Paragrafoelenco"/>
        <w:numPr>
          <w:ilvl w:val="0"/>
          <w:numId w:val="29"/>
        </w:numPr>
        <w:spacing w:before="120" w:after="120"/>
        <w:rPr>
          <w:lang w:val="fr-FR"/>
        </w:rPr>
      </w:pPr>
      <w:r w:rsidRPr="00202448">
        <w:rPr>
          <w:rFonts w:ascii="Calibri" w:hAnsi="Calibri"/>
          <w:lang w:val="fr-FR"/>
        </w:rPr>
        <w:t>É</w:t>
      </w:r>
      <w:r w:rsidRPr="00202448">
        <w:rPr>
          <w:lang w:val="fr-FR"/>
        </w:rPr>
        <w:t>nergies renouvelables « bleues » et « vertes ».</w:t>
      </w:r>
    </w:p>
    <w:p w14:paraId="4345DFB5" w14:textId="3CA40D92" w:rsidR="00235074" w:rsidRPr="00202448" w:rsidRDefault="00235074" w:rsidP="00451601">
      <w:pPr>
        <w:spacing w:before="120" w:after="120"/>
        <w:rPr>
          <w:lang w:val="fr-FR"/>
        </w:rPr>
      </w:pPr>
      <w:r w:rsidRPr="00202448">
        <w:rPr>
          <w:lang w:val="fr-FR"/>
        </w:rPr>
        <w:t>Les secteurs traditionnels et émergents liés aux filières sont inclus.</w:t>
      </w:r>
    </w:p>
    <w:p w14:paraId="7CA97765" w14:textId="712440C7" w:rsidR="00235074" w:rsidRPr="00202448" w:rsidRDefault="007A6CB3" w:rsidP="00451601">
      <w:pPr>
        <w:spacing w:before="120" w:after="120"/>
        <w:rPr>
          <w:lang w:val="fr-FR"/>
        </w:rPr>
      </w:pPr>
      <w:r w:rsidRPr="00202448">
        <w:rPr>
          <w:lang w:val="fr-FR"/>
        </w:rPr>
        <w:t>Les entreprises candidates devront posséder les exigences suivantes :</w:t>
      </w:r>
    </w:p>
    <w:p w14:paraId="16D614E5" w14:textId="3A05A61A" w:rsidR="007A6CB3" w:rsidRPr="00202448" w:rsidRDefault="007A6CB3" w:rsidP="00451601">
      <w:pPr>
        <w:pStyle w:val="Paragrafoelenco"/>
        <w:numPr>
          <w:ilvl w:val="0"/>
          <w:numId w:val="29"/>
        </w:numPr>
        <w:spacing w:before="120" w:after="120"/>
        <w:rPr>
          <w:lang w:val="fr-FR"/>
        </w:rPr>
      </w:pPr>
      <w:r w:rsidRPr="00202448">
        <w:rPr>
          <w:rFonts w:ascii="Calibri" w:hAnsi="Calibri"/>
          <w:lang w:val="fr-FR"/>
        </w:rPr>
        <w:t>Ê</w:t>
      </w:r>
      <w:r w:rsidRPr="00202448">
        <w:rPr>
          <w:lang w:val="fr-FR"/>
        </w:rPr>
        <w:t xml:space="preserve">tre une </w:t>
      </w:r>
      <w:r w:rsidRPr="00202448">
        <w:rPr>
          <w:u w:val="single"/>
          <w:lang w:val="fr-FR"/>
        </w:rPr>
        <w:t>nouvelle entreprise</w:t>
      </w:r>
      <w:r w:rsidRPr="00202448">
        <w:rPr>
          <w:lang w:val="fr-FR"/>
        </w:rPr>
        <w:t xml:space="preserve"> ou une </w:t>
      </w:r>
      <w:r w:rsidRPr="00202448">
        <w:rPr>
          <w:u w:val="single"/>
          <w:lang w:val="fr-FR"/>
        </w:rPr>
        <w:t>entreprise innovante</w:t>
      </w:r>
      <w:r w:rsidRPr="00202448">
        <w:rPr>
          <w:lang w:val="fr-FR"/>
        </w:rPr>
        <w:t> : par « nouvelle entreprise » on entend les entreprises créées dans les 24 mois précédant la date de dépôt de la demande. Par « entreprises innovantes » on entend les entreprises créées dans les 36 mois précédant la date de dépôt de la demande et qui sont nées autour d'une innovation de produit, de service, de processus ou d'organisation, d'un résultat de recherche, d'un brevet, en général d'une idée commerciale originale ;</w:t>
      </w:r>
    </w:p>
    <w:p w14:paraId="0705DD5D" w14:textId="4213A15D" w:rsidR="007A6CB3" w:rsidRPr="00202448" w:rsidRDefault="00AC2870" w:rsidP="00451601">
      <w:pPr>
        <w:pStyle w:val="Paragrafoelenco"/>
        <w:numPr>
          <w:ilvl w:val="0"/>
          <w:numId w:val="29"/>
        </w:numPr>
        <w:spacing w:before="120" w:after="120"/>
        <w:rPr>
          <w:lang w:val="fr-FR"/>
        </w:rPr>
      </w:pPr>
      <w:r w:rsidRPr="00202448">
        <w:rPr>
          <w:rFonts w:ascii="Calibri" w:hAnsi="Calibri"/>
          <w:lang w:val="fr-FR"/>
        </w:rPr>
        <w:t>Ê</w:t>
      </w:r>
      <w:r w:rsidRPr="00202448">
        <w:rPr>
          <w:lang w:val="fr-FR"/>
        </w:rPr>
        <w:t xml:space="preserve">tre une Très Petite Entreprise ou Petite ou Moyenne Entreprise selon la </w:t>
      </w:r>
      <w:hyperlink r:id="rId12" w:history="1">
        <w:r w:rsidRPr="00202448">
          <w:rPr>
            <w:rStyle w:val="Collegamentoipertestuale"/>
            <w:lang w:val="fr-FR"/>
          </w:rPr>
          <w:t>Recommandation de la Commission n° 361 du 6 mai 2003</w:t>
        </w:r>
      </w:hyperlink>
      <w:r w:rsidRPr="00202448">
        <w:rPr>
          <w:lang w:val="fr-FR"/>
        </w:rPr>
        <w:t xml:space="preserve"> concernant la définition </w:t>
      </w:r>
      <w:proofErr w:type="gramStart"/>
      <w:r w:rsidRPr="00202448">
        <w:rPr>
          <w:lang w:val="fr-FR"/>
        </w:rPr>
        <w:t>des micro</w:t>
      </w:r>
      <w:proofErr w:type="gramEnd"/>
      <w:r w:rsidRPr="00202448">
        <w:rPr>
          <w:lang w:val="fr-FR"/>
        </w:rPr>
        <w:t xml:space="preserve">, petites et moyennes entreprises ; </w:t>
      </w:r>
    </w:p>
    <w:p w14:paraId="06223DC9" w14:textId="6738031A" w:rsidR="00AC2870" w:rsidRPr="00202448" w:rsidRDefault="00AC2870" w:rsidP="00451601">
      <w:pPr>
        <w:pStyle w:val="Paragrafoelenco"/>
        <w:numPr>
          <w:ilvl w:val="0"/>
          <w:numId w:val="29"/>
        </w:numPr>
        <w:spacing w:before="120" w:after="120"/>
        <w:rPr>
          <w:lang w:val="fr-FR"/>
        </w:rPr>
      </w:pPr>
      <w:r w:rsidRPr="00202448">
        <w:rPr>
          <w:lang w:val="fr-FR"/>
        </w:rPr>
        <w:t xml:space="preserve">Avoir un siège légal et/ou opérationnel dans la </w:t>
      </w:r>
      <w:hyperlink r:id="rId13" w:history="1">
        <w:r w:rsidRPr="00202448">
          <w:rPr>
            <w:rStyle w:val="Collegamentoipertestuale"/>
            <w:lang w:val="fr-FR"/>
          </w:rPr>
          <w:t>zone de coopération</w:t>
        </w:r>
      </w:hyperlink>
      <w:r w:rsidRPr="00202448">
        <w:rPr>
          <w:lang w:val="fr-FR"/>
        </w:rPr>
        <w:t xml:space="preserve"> du Programme </w:t>
      </w:r>
      <w:proofErr w:type="spellStart"/>
      <w:r w:rsidRPr="00202448">
        <w:rPr>
          <w:lang w:val="fr-FR"/>
        </w:rPr>
        <w:t>Interreg</w:t>
      </w:r>
      <w:proofErr w:type="spellEnd"/>
      <w:r w:rsidRPr="00202448">
        <w:rPr>
          <w:lang w:val="fr-FR"/>
        </w:rPr>
        <w:t xml:space="preserve"> </w:t>
      </w:r>
      <w:proofErr w:type="spellStart"/>
      <w:r w:rsidRPr="00202448">
        <w:rPr>
          <w:lang w:val="fr-FR"/>
        </w:rPr>
        <w:t>Marittimo</w:t>
      </w:r>
      <w:proofErr w:type="spellEnd"/>
      <w:r w:rsidRPr="00202448">
        <w:rPr>
          <w:lang w:val="fr-FR"/>
        </w:rPr>
        <w:t xml:space="preserve"> Italie-France 2014-2020. En particulier :</w:t>
      </w:r>
    </w:p>
    <w:p w14:paraId="4891EBFD" w14:textId="6CCF5A18" w:rsidR="00AC2870" w:rsidRPr="00202448" w:rsidRDefault="00AC2870" w:rsidP="00451601">
      <w:pPr>
        <w:pStyle w:val="Paragrafoelenco"/>
        <w:numPr>
          <w:ilvl w:val="1"/>
          <w:numId w:val="34"/>
        </w:numPr>
        <w:spacing w:before="120" w:after="120"/>
        <w:rPr>
          <w:lang w:val="fr-FR"/>
        </w:rPr>
      </w:pPr>
      <w:r w:rsidRPr="00202448">
        <w:rPr>
          <w:lang w:val="fr-FR"/>
        </w:rPr>
        <w:t xml:space="preserve">Les TPE ou PME </w:t>
      </w:r>
      <w:r w:rsidR="00451601" w:rsidRPr="00202448">
        <w:rPr>
          <w:lang w:val="fr-FR"/>
        </w:rPr>
        <w:t>ayant</w:t>
      </w:r>
      <w:r w:rsidRPr="00202448">
        <w:rPr>
          <w:lang w:val="fr-FR"/>
        </w:rPr>
        <w:t xml:space="preserve"> un siège légal et/ou opérationnel dans la Région Sardaigne seront sélectionnées </w:t>
      </w:r>
      <w:r w:rsidR="00452957" w:rsidRPr="00202448">
        <w:rPr>
          <w:lang w:val="fr-FR"/>
        </w:rPr>
        <w:t>par le partenaire CSPI ;</w:t>
      </w:r>
    </w:p>
    <w:p w14:paraId="303395C2" w14:textId="6100054C" w:rsidR="00452957" w:rsidRPr="00202448" w:rsidRDefault="00452957" w:rsidP="00451601">
      <w:pPr>
        <w:pStyle w:val="Paragrafoelenco"/>
        <w:numPr>
          <w:ilvl w:val="1"/>
          <w:numId w:val="34"/>
        </w:numPr>
        <w:spacing w:before="120" w:after="120"/>
        <w:rPr>
          <w:lang w:val="fr-FR"/>
        </w:rPr>
      </w:pPr>
      <w:r w:rsidRPr="00202448">
        <w:rPr>
          <w:lang w:val="fr-FR"/>
        </w:rPr>
        <w:t xml:space="preserve">Les TPE ou PME </w:t>
      </w:r>
      <w:r w:rsidR="00451601" w:rsidRPr="00202448">
        <w:rPr>
          <w:lang w:val="fr-FR"/>
        </w:rPr>
        <w:t>ayant</w:t>
      </w:r>
      <w:r w:rsidRPr="00202448">
        <w:rPr>
          <w:lang w:val="fr-FR"/>
        </w:rPr>
        <w:t xml:space="preserve"> un siège légal et/ou opérationnel dans la Région Ligurie seront sélectionnées par le partenaire CERSAA ;</w:t>
      </w:r>
    </w:p>
    <w:p w14:paraId="60FFAC19" w14:textId="4001E0D0" w:rsidR="00452957" w:rsidRPr="00202448" w:rsidRDefault="00452957" w:rsidP="00451601">
      <w:pPr>
        <w:pStyle w:val="Paragrafoelenco"/>
        <w:numPr>
          <w:ilvl w:val="1"/>
          <w:numId w:val="34"/>
        </w:numPr>
        <w:spacing w:before="120" w:after="120"/>
        <w:rPr>
          <w:lang w:val="fr-FR"/>
        </w:rPr>
      </w:pPr>
      <w:r w:rsidRPr="00202448">
        <w:rPr>
          <w:lang w:val="fr-FR"/>
        </w:rPr>
        <w:t xml:space="preserve">Les TPE ou PME </w:t>
      </w:r>
      <w:r w:rsidR="00451601" w:rsidRPr="00202448">
        <w:rPr>
          <w:lang w:val="fr-FR"/>
        </w:rPr>
        <w:t>ayant</w:t>
      </w:r>
      <w:r w:rsidRPr="00202448">
        <w:rPr>
          <w:lang w:val="fr-FR"/>
        </w:rPr>
        <w:t xml:space="preserve"> un siège légal et/ou opérationnel dans les Provinces de Pisa, </w:t>
      </w:r>
      <w:proofErr w:type="spellStart"/>
      <w:r w:rsidRPr="00202448">
        <w:rPr>
          <w:lang w:val="fr-FR"/>
        </w:rPr>
        <w:t>Lucca</w:t>
      </w:r>
      <w:proofErr w:type="spellEnd"/>
      <w:r w:rsidRPr="00202448">
        <w:rPr>
          <w:lang w:val="fr-FR"/>
        </w:rPr>
        <w:t xml:space="preserve">, Massa </w:t>
      </w:r>
      <w:proofErr w:type="spellStart"/>
      <w:r w:rsidRPr="00202448">
        <w:rPr>
          <w:lang w:val="fr-FR"/>
        </w:rPr>
        <w:t>Carrara</w:t>
      </w:r>
      <w:proofErr w:type="spellEnd"/>
      <w:r w:rsidRPr="00202448">
        <w:rPr>
          <w:lang w:val="fr-FR"/>
        </w:rPr>
        <w:t xml:space="preserve">, </w:t>
      </w:r>
      <w:proofErr w:type="spellStart"/>
      <w:r w:rsidRPr="00202448">
        <w:rPr>
          <w:lang w:val="fr-FR"/>
        </w:rPr>
        <w:t>Livorno</w:t>
      </w:r>
      <w:proofErr w:type="spellEnd"/>
      <w:r w:rsidRPr="00202448">
        <w:rPr>
          <w:lang w:val="fr-FR"/>
        </w:rPr>
        <w:t xml:space="preserve"> e Grosseto seront sélectionnées par le partenaire SSSA ;</w:t>
      </w:r>
    </w:p>
    <w:p w14:paraId="0502FCC1" w14:textId="49C9077C" w:rsidR="00452957" w:rsidRPr="00202448" w:rsidRDefault="00452957" w:rsidP="00451601">
      <w:pPr>
        <w:pStyle w:val="Paragrafoelenco"/>
        <w:numPr>
          <w:ilvl w:val="1"/>
          <w:numId w:val="34"/>
        </w:numPr>
        <w:spacing w:before="120" w:after="120"/>
        <w:rPr>
          <w:lang w:val="fr-FR"/>
        </w:rPr>
      </w:pPr>
      <w:r w:rsidRPr="00202448">
        <w:rPr>
          <w:lang w:val="fr-FR"/>
        </w:rPr>
        <w:t xml:space="preserve">Les TPE ou PME </w:t>
      </w:r>
      <w:r w:rsidR="00451601" w:rsidRPr="00202448">
        <w:rPr>
          <w:lang w:val="fr-FR"/>
        </w:rPr>
        <w:t>ayant</w:t>
      </w:r>
      <w:r w:rsidRPr="00202448">
        <w:rPr>
          <w:lang w:val="fr-FR"/>
        </w:rPr>
        <w:t xml:space="preserve"> un siège légal et/ou opérationnel en Corse seront sélectionnées par le partenaire CCI H-C ;</w:t>
      </w:r>
    </w:p>
    <w:p w14:paraId="48456206" w14:textId="1AB6F1B0" w:rsidR="00452957" w:rsidRPr="00202448" w:rsidRDefault="00452957" w:rsidP="00451601">
      <w:pPr>
        <w:pStyle w:val="Paragrafoelenco"/>
        <w:numPr>
          <w:ilvl w:val="1"/>
          <w:numId w:val="34"/>
        </w:numPr>
        <w:spacing w:before="120" w:after="120"/>
        <w:rPr>
          <w:lang w:val="fr-FR"/>
        </w:rPr>
      </w:pPr>
      <w:r w:rsidRPr="00202448">
        <w:rPr>
          <w:lang w:val="fr-FR"/>
        </w:rPr>
        <w:t xml:space="preserve">Les TPE ou PME </w:t>
      </w:r>
      <w:r w:rsidR="00451601" w:rsidRPr="00202448">
        <w:rPr>
          <w:lang w:val="fr-FR"/>
        </w:rPr>
        <w:t>ayant</w:t>
      </w:r>
      <w:r w:rsidRPr="00202448">
        <w:rPr>
          <w:lang w:val="fr-FR"/>
        </w:rPr>
        <w:t xml:space="preserve"> un siège légal et/ou opérationnel dans le Département du Var seront sélectionnées par le partenaire CCI Var ;</w:t>
      </w:r>
    </w:p>
    <w:p w14:paraId="0B920A23" w14:textId="58B53D06" w:rsidR="00452957" w:rsidRPr="00202448" w:rsidRDefault="00452957" w:rsidP="00451601">
      <w:pPr>
        <w:pStyle w:val="Paragrafoelenco"/>
        <w:numPr>
          <w:ilvl w:val="0"/>
          <w:numId w:val="29"/>
        </w:numPr>
        <w:spacing w:before="120" w:after="120"/>
        <w:rPr>
          <w:lang w:val="fr-FR"/>
        </w:rPr>
      </w:pPr>
      <w:r w:rsidRPr="00202448">
        <w:rPr>
          <w:rFonts w:ascii="Calibri" w:hAnsi="Calibri"/>
          <w:lang w:val="fr-FR"/>
        </w:rPr>
        <w:t>Ê</w:t>
      </w:r>
      <w:r w:rsidRPr="00202448">
        <w:rPr>
          <w:lang w:val="fr-FR"/>
        </w:rPr>
        <w:t>tre régulièrement constituées et inscrites au registre du commerce italien ou français ;</w:t>
      </w:r>
    </w:p>
    <w:p w14:paraId="3BF2F90E" w14:textId="1D970248" w:rsidR="00452957" w:rsidRPr="00202448" w:rsidRDefault="00452957" w:rsidP="00451601">
      <w:pPr>
        <w:pStyle w:val="Paragrafoelenco"/>
        <w:numPr>
          <w:ilvl w:val="0"/>
          <w:numId w:val="29"/>
        </w:numPr>
        <w:spacing w:before="120" w:after="120"/>
        <w:rPr>
          <w:lang w:val="fr-FR"/>
        </w:rPr>
      </w:pPr>
      <w:r w:rsidRPr="00202448">
        <w:rPr>
          <w:rFonts w:ascii="Calibri" w:hAnsi="Calibri"/>
          <w:lang w:val="fr-FR"/>
        </w:rPr>
        <w:t>Ê</w:t>
      </w:r>
      <w:r w:rsidRPr="00202448">
        <w:rPr>
          <w:lang w:val="fr-FR"/>
        </w:rPr>
        <w:t>tre à jour des cotisations sociales et fiscales</w:t>
      </w:r>
      <w:r w:rsidR="00946D33" w:rsidRPr="00202448">
        <w:rPr>
          <w:lang w:val="fr-FR"/>
        </w:rPr>
        <w:t xml:space="preserve"> (en Italie, vérifiable par le DURC) ;</w:t>
      </w:r>
    </w:p>
    <w:p w14:paraId="75B71F2D" w14:textId="2049CF0C" w:rsidR="00946D33" w:rsidRPr="00202448" w:rsidRDefault="00946D33" w:rsidP="00451601">
      <w:pPr>
        <w:pStyle w:val="Paragrafoelenco"/>
        <w:numPr>
          <w:ilvl w:val="0"/>
          <w:numId w:val="29"/>
        </w:numPr>
        <w:spacing w:before="120" w:after="120"/>
        <w:rPr>
          <w:lang w:val="fr-FR"/>
        </w:rPr>
      </w:pPr>
      <w:r w:rsidRPr="00202448">
        <w:rPr>
          <w:lang w:val="fr-FR"/>
        </w:rPr>
        <w:lastRenderedPageBreak/>
        <w:t>N’être pas en état ou ils font l'objet d'une procédure de faillite, de liquidation, ou dans toute situation analogue résultant d'une procédure de même nature existant dans les législations et réglementations nationales ;</w:t>
      </w:r>
    </w:p>
    <w:p w14:paraId="4A98B71B" w14:textId="5FFD5F29" w:rsidR="00946D33" w:rsidRPr="00202448" w:rsidRDefault="00946D33" w:rsidP="00451601">
      <w:pPr>
        <w:pStyle w:val="Paragrafoelenco"/>
        <w:numPr>
          <w:ilvl w:val="0"/>
          <w:numId w:val="29"/>
        </w:numPr>
        <w:spacing w:before="120" w:after="120"/>
        <w:rPr>
          <w:lang w:val="fr-FR"/>
        </w:rPr>
      </w:pPr>
      <w:r w:rsidRPr="00202448">
        <w:rPr>
          <w:lang w:val="fr-FR"/>
        </w:rPr>
        <w:t>Respecter le Règlement UE 1407/2013 de la Commission du 18 décembre 2013, relatif à l’application des articles 107 et 108 du traité sur le fonctionnement de l’Union européenne aux aides de minimis.</w:t>
      </w:r>
    </w:p>
    <w:p w14:paraId="46514233" w14:textId="03904965" w:rsidR="00946D33" w:rsidRPr="00202448" w:rsidRDefault="00BD0DE0" w:rsidP="00946D33">
      <w:pPr>
        <w:rPr>
          <w:b/>
          <w:bCs/>
          <w:lang w:val="fr-FR"/>
        </w:rPr>
      </w:pPr>
      <w:r w:rsidRPr="00202448">
        <w:rPr>
          <w:b/>
          <w:bCs/>
          <w:lang w:val="fr-FR"/>
        </w:rPr>
        <w:t xml:space="preserve">ART. 4 Articulation et contenu des services fournis </w:t>
      </w:r>
      <w:r w:rsidR="00604664" w:rsidRPr="00202448">
        <w:rPr>
          <w:b/>
          <w:bCs/>
          <w:lang w:val="fr-FR"/>
        </w:rPr>
        <w:t>dans le cadre</w:t>
      </w:r>
      <w:r w:rsidRPr="00202448">
        <w:rPr>
          <w:b/>
          <w:bCs/>
          <w:lang w:val="fr-FR"/>
        </w:rPr>
        <w:t xml:space="preserve"> du Concours Jeunes Entreprises de l’Économie Circulaire</w:t>
      </w:r>
    </w:p>
    <w:p w14:paraId="2C8992CC" w14:textId="64A90823" w:rsidR="00BD0DE0" w:rsidRPr="00202448" w:rsidRDefault="00BD0DE0" w:rsidP="00946D33">
      <w:pPr>
        <w:rPr>
          <w:lang w:val="fr-FR"/>
        </w:rPr>
      </w:pPr>
      <w:r w:rsidRPr="00202448">
        <w:rPr>
          <w:lang w:val="fr-FR"/>
        </w:rPr>
        <w:t xml:space="preserve">Les services avancés du Concours </w:t>
      </w:r>
      <w:r w:rsidR="00DA5FF5" w:rsidRPr="00202448">
        <w:rPr>
          <w:lang w:val="fr-FR"/>
        </w:rPr>
        <w:t>« </w:t>
      </w:r>
      <w:r w:rsidRPr="00202448">
        <w:rPr>
          <w:lang w:val="fr-FR"/>
        </w:rPr>
        <w:t>Jeunes Entreprises de l’Économie Circulaire</w:t>
      </w:r>
      <w:r w:rsidR="00DA5FF5" w:rsidRPr="00202448">
        <w:rPr>
          <w:lang w:val="fr-FR"/>
        </w:rPr>
        <w:t> »</w:t>
      </w:r>
      <w:r w:rsidRPr="00202448">
        <w:rPr>
          <w:lang w:val="fr-FR"/>
        </w:rPr>
        <w:t xml:space="preserve"> seront affectés dans une période qui va </w:t>
      </w:r>
      <w:r w:rsidR="00F11600" w:rsidRPr="00F11600">
        <w:rPr>
          <w:highlight w:val="yellow"/>
          <w:lang w:val="fr-FR"/>
        </w:rPr>
        <w:t>d’octobre</w:t>
      </w:r>
      <w:r w:rsidRPr="00F11600">
        <w:rPr>
          <w:highlight w:val="yellow"/>
          <w:lang w:val="fr-FR"/>
        </w:rPr>
        <w:t xml:space="preserve"> 2021</w:t>
      </w:r>
      <w:r w:rsidRPr="00202448">
        <w:rPr>
          <w:lang w:val="fr-FR"/>
        </w:rPr>
        <w:t xml:space="preserve"> à mai 2022 et seront divisés en deux phases : une phase de tutorat commun (</w:t>
      </w:r>
      <w:r w:rsidR="00F11600" w:rsidRPr="00F11600">
        <w:rPr>
          <w:highlight w:val="yellow"/>
          <w:lang w:val="fr-FR"/>
        </w:rPr>
        <w:t>octobre</w:t>
      </w:r>
      <w:r w:rsidRPr="00F11600">
        <w:rPr>
          <w:highlight w:val="yellow"/>
          <w:lang w:val="fr-FR"/>
        </w:rPr>
        <w:t xml:space="preserve"> – </w:t>
      </w:r>
      <w:r w:rsidR="00F11600" w:rsidRPr="00F11600">
        <w:rPr>
          <w:highlight w:val="yellow"/>
          <w:lang w:val="fr-FR"/>
        </w:rPr>
        <w:t>d</w:t>
      </w:r>
      <w:r w:rsidR="00F11600">
        <w:rPr>
          <w:highlight w:val="yellow"/>
          <w:lang w:val="fr-FR"/>
        </w:rPr>
        <w:t>é</w:t>
      </w:r>
      <w:r w:rsidR="00F11600" w:rsidRPr="00F11600">
        <w:rPr>
          <w:highlight w:val="yellow"/>
          <w:lang w:val="fr-FR"/>
        </w:rPr>
        <w:t>cembre</w:t>
      </w:r>
      <w:r w:rsidRPr="00F11600">
        <w:rPr>
          <w:highlight w:val="yellow"/>
          <w:lang w:val="fr-FR"/>
        </w:rPr>
        <w:t xml:space="preserve"> 2021</w:t>
      </w:r>
      <w:r w:rsidRPr="00202448">
        <w:rPr>
          <w:lang w:val="fr-FR"/>
        </w:rPr>
        <w:t xml:space="preserve">), et une de coaching individuel avec la possibilité, à la discrétion des partenaires, d’organiser également des parcours de </w:t>
      </w:r>
      <w:proofErr w:type="spellStart"/>
      <w:r w:rsidRPr="00202448">
        <w:rPr>
          <w:lang w:val="fr-FR"/>
        </w:rPr>
        <w:t>co</w:t>
      </w:r>
      <w:proofErr w:type="spellEnd"/>
      <w:r w:rsidRPr="00202448">
        <w:rPr>
          <w:lang w:val="fr-FR"/>
        </w:rPr>
        <w:t>-conception avec plusieurs bénéficiaires (janvier – mai 2022).</w:t>
      </w:r>
    </w:p>
    <w:p w14:paraId="2E988E26" w14:textId="24C5F752" w:rsidR="00235074" w:rsidRPr="00202448" w:rsidRDefault="00E61424" w:rsidP="00235074">
      <w:pPr>
        <w:rPr>
          <w:lang w:val="fr-FR"/>
        </w:rPr>
      </w:pPr>
      <w:r w:rsidRPr="00202448">
        <w:rPr>
          <w:lang w:val="fr-FR"/>
        </w:rPr>
        <w:t>SÉANCES TUTORAT : des activités de formation sont prévues pour améliorer les connaissances des bénéficiaires dans le domaine de l'économie circulaire et pour faciliter le transfert de compétences dans des domaines spécifiques. Pour favoriser la participation des TPE et PME, compte tenu également de l'urgence sanitaire, les activités des sessions communes pourront être suivies à travers les webinaires et les matériels numériques mis à disposition.</w:t>
      </w:r>
    </w:p>
    <w:p w14:paraId="59ADBE68" w14:textId="06553430" w:rsidR="00E61424" w:rsidRPr="00202448" w:rsidRDefault="00E61424" w:rsidP="00235074">
      <w:pPr>
        <w:rPr>
          <w:lang w:val="fr-FR"/>
        </w:rPr>
      </w:pPr>
      <w:r w:rsidRPr="00202448">
        <w:rPr>
          <w:lang w:val="fr-FR"/>
        </w:rPr>
        <w:t xml:space="preserve">Le tutorat sera réalisé à niveau local et aura lieu dans la période entre </w:t>
      </w:r>
      <w:r w:rsidR="009260A8" w:rsidRPr="009260A8">
        <w:rPr>
          <w:highlight w:val="yellow"/>
          <w:lang w:val="fr-FR"/>
        </w:rPr>
        <w:t>octobre</w:t>
      </w:r>
      <w:r w:rsidRPr="009260A8">
        <w:rPr>
          <w:highlight w:val="yellow"/>
          <w:lang w:val="fr-FR"/>
        </w:rPr>
        <w:t xml:space="preserve"> et </w:t>
      </w:r>
      <w:r w:rsidR="009260A8" w:rsidRPr="009260A8">
        <w:rPr>
          <w:highlight w:val="yellow"/>
          <w:lang w:val="fr-FR"/>
        </w:rPr>
        <w:t>décembre</w:t>
      </w:r>
      <w:r w:rsidRPr="00202448">
        <w:rPr>
          <w:lang w:val="fr-FR"/>
        </w:rPr>
        <w:t xml:space="preserve"> 2021 pour un maximum de 6 jours. Les thèmes suivants seront abordés :</w:t>
      </w:r>
    </w:p>
    <w:p w14:paraId="181596B3" w14:textId="59476583"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 xml:space="preserve">LES BASES POUR </w:t>
      </w:r>
      <w:r w:rsidR="005E1441" w:rsidRPr="00202448">
        <w:rPr>
          <w:rFonts w:cs="Open Sans"/>
          <w:lang w:val="fr-FR"/>
        </w:rPr>
        <w:t xml:space="preserve">L’ÉVOLUTION </w:t>
      </w:r>
      <w:r w:rsidRPr="00202448">
        <w:rPr>
          <w:rFonts w:cs="Open Sans"/>
          <w:lang w:val="fr-FR"/>
        </w:rPr>
        <w:t>À LA CIRCULARITÉ : opportunités économiques et pas seulement – l’économie circulaire dans le contexte international, normatives, modèles d’affaires circulaires, bonnes pratiques et expériences d’excellence ;</w:t>
      </w:r>
    </w:p>
    <w:p w14:paraId="0F4304E2" w14:textId="15BC72E4"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ÉVALUEZ LE MARCHÉ POUR VOTRE IDÉE CIRCULAIRE : notions d’analyse du secteur et du marché, de la compétitivité et de la chaîne de valeur ; méthodologies pour la détection des besoins, de la criticité et des opportunités, ainsi que des forces et des faiblesses ; systèmes de cartographie et d’analyse des parties prenantes ;</w:t>
      </w:r>
    </w:p>
    <w:p w14:paraId="5465649D" w14:textId="752CE97A"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ORGANISEZ ET GÉREZ VOTRE IDÉE CIRCULAIRE : éléments d’organisation des ressources matérielles dans le cadre du modèle d’affaires circulaire, gestion et suivi des évolutions</w:t>
      </w:r>
      <w:r w:rsidR="005E1441" w:rsidRPr="00202448">
        <w:rPr>
          <w:rFonts w:cs="Open Sans"/>
          <w:lang w:val="fr-FR"/>
        </w:rPr>
        <w:t>/</w:t>
      </w:r>
      <w:r w:rsidRPr="00202448">
        <w:rPr>
          <w:rFonts w:cs="Open Sans"/>
          <w:lang w:val="fr-FR"/>
        </w:rPr>
        <w:t>activités, résultats intermédiaires, facteurs d’entrée, dynamique économique et financière, évaluation des externalités et des impacts sociaux et environnementaux ;</w:t>
      </w:r>
    </w:p>
    <w:p w14:paraId="50D1AB22" w14:textId="565515F7"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TRANSFORMEZ VOTRE IDÉE EN PROJET : du business modeling circulaire au business planning ;</w:t>
      </w:r>
    </w:p>
    <w:p w14:paraId="169F17DD" w14:textId="69433857"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SOUTENEZ VOTRE ACTIVITÉ CIRCULAIRE : vue d’ensemble des opportunités pour soutenir financièrement le projet, des investisseurs privés aux ressources publiques en explorant des systèmes innovants tels que le crowdfunding et le crowdsourcing.</w:t>
      </w:r>
    </w:p>
    <w:p w14:paraId="6D87CAB9" w14:textId="2316346C" w:rsidR="00AC61C6" w:rsidRPr="00202448" w:rsidRDefault="00AC61C6" w:rsidP="00AC61C6">
      <w:pPr>
        <w:pStyle w:val="Paragrafoelenco"/>
        <w:numPr>
          <w:ilvl w:val="0"/>
          <w:numId w:val="31"/>
        </w:numPr>
        <w:spacing w:before="120" w:after="120"/>
        <w:rPr>
          <w:rFonts w:cs="Open Sans"/>
          <w:lang w:val="fr-FR"/>
        </w:rPr>
      </w:pPr>
      <w:r w:rsidRPr="00202448">
        <w:rPr>
          <w:rFonts w:cs="Open Sans"/>
          <w:lang w:val="fr-FR"/>
        </w:rPr>
        <w:t>VALORISEZ ET COMMUNIQUEZ VOTRE IDÉE CIRCULAIRE : bases d</w:t>
      </w:r>
      <w:r w:rsidR="00533675" w:rsidRPr="00202448">
        <w:rPr>
          <w:rFonts w:cs="Open Sans"/>
          <w:lang w:val="fr-FR"/>
        </w:rPr>
        <w:t>u</w:t>
      </w:r>
      <w:r w:rsidRPr="00202448">
        <w:rPr>
          <w:rFonts w:cs="Open Sans"/>
          <w:lang w:val="fr-FR"/>
        </w:rPr>
        <w:t xml:space="preserve"> marketing et de </w:t>
      </w:r>
      <w:r w:rsidR="00533675" w:rsidRPr="00202448">
        <w:rPr>
          <w:rFonts w:cs="Open Sans"/>
          <w:lang w:val="fr-FR"/>
        </w:rPr>
        <w:t xml:space="preserve">la </w:t>
      </w:r>
      <w:r w:rsidRPr="00202448">
        <w:rPr>
          <w:rFonts w:cs="Open Sans"/>
          <w:lang w:val="fr-FR"/>
        </w:rPr>
        <w:t xml:space="preserve">communication stratégique pour soutenir le développement et la </w:t>
      </w:r>
      <w:r w:rsidR="00533675" w:rsidRPr="00202448">
        <w:rPr>
          <w:rFonts w:cs="Open Sans"/>
          <w:lang w:val="fr-FR"/>
        </w:rPr>
        <w:t>mise en œuvre</w:t>
      </w:r>
      <w:r w:rsidRPr="00202448">
        <w:rPr>
          <w:rFonts w:cs="Open Sans"/>
          <w:lang w:val="fr-FR"/>
        </w:rPr>
        <w:t xml:space="preserve"> du </w:t>
      </w:r>
      <w:r w:rsidR="00533675" w:rsidRPr="00202448">
        <w:rPr>
          <w:rFonts w:cs="Open Sans"/>
          <w:lang w:val="fr-FR"/>
        </w:rPr>
        <w:t>« business</w:t>
      </w:r>
      <w:r w:rsidRPr="00202448">
        <w:rPr>
          <w:rFonts w:cs="Open Sans"/>
          <w:lang w:val="fr-FR"/>
        </w:rPr>
        <w:t xml:space="preserve"> circulaire</w:t>
      </w:r>
      <w:r w:rsidR="00533675" w:rsidRPr="00202448">
        <w:rPr>
          <w:rFonts w:cs="Open Sans"/>
          <w:lang w:val="fr-FR"/>
        </w:rPr>
        <w:t> »</w:t>
      </w:r>
      <w:r w:rsidRPr="00202448">
        <w:rPr>
          <w:rFonts w:cs="Open Sans"/>
          <w:lang w:val="fr-FR"/>
        </w:rPr>
        <w:t xml:space="preserve"> par le biais de </w:t>
      </w:r>
      <w:proofErr w:type="spellStart"/>
      <w:r w:rsidRPr="00202448">
        <w:rPr>
          <w:rFonts w:cs="Open Sans"/>
          <w:lang w:val="fr-FR"/>
        </w:rPr>
        <w:t>pitch</w:t>
      </w:r>
      <w:r w:rsidR="00533675" w:rsidRPr="00202448">
        <w:rPr>
          <w:rFonts w:cs="Open Sans"/>
          <w:lang w:val="fr-FR"/>
        </w:rPr>
        <w:t>s</w:t>
      </w:r>
      <w:proofErr w:type="spellEnd"/>
      <w:r w:rsidRPr="00202448">
        <w:rPr>
          <w:rFonts w:cs="Open Sans"/>
          <w:lang w:val="fr-FR"/>
        </w:rPr>
        <w:t xml:space="preserve">, </w:t>
      </w:r>
      <w:r w:rsidR="00533675" w:rsidRPr="00202448">
        <w:rPr>
          <w:rFonts w:cs="Open Sans"/>
          <w:lang w:val="fr-FR"/>
        </w:rPr>
        <w:t>événements de courtage</w:t>
      </w:r>
      <w:r w:rsidRPr="00202448">
        <w:rPr>
          <w:rFonts w:cs="Open Sans"/>
          <w:lang w:val="fr-FR"/>
        </w:rPr>
        <w:t xml:space="preserve"> et autres activités de </w:t>
      </w:r>
      <w:r w:rsidRPr="00202448">
        <w:rPr>
          <w:rFonts w:cs="Open Sans"/>
          <w:lang w:val="fr-FR"/>
        </w:rPr>
        <w:lastRenderedPageBreak/>
        <w:t>promotion pour le lancement sur le marché</w:t>
      </w:r>
      <w:r w:rsidR="00533675" w:rsidRPr="00202448">
        <w:rPr>
          <w:rFonts w:cs="Open Sans"/>
          <w:lang w:val="fr-FR"/>
        </w:rPr>
        <w:t>.</w:t>
      </w:r>
    </w:p>
    <w:p w14:paraId="25E5D180" w14:textId="61D45FBE" w:rsidR="00533675" w:rsidRPr="00202448" w:rsidRDefault="00533675" w:rsidP="00533675">
      <w:pPr>
        <w:spacing w:before="120" w:after="120"/>
        <w:rPr>
          <w:rFonts w:cs="Open Sans"/>
          <w:lang w:val="fr-FR"/>
        </w:rPr>
      </w:pPr>
      <w:r w:rsidRPr="00202448">
        <w:rPr>
          <w:rFonts w:cs="Open Sans"/>
          <w:lang w:val="fr-FR"/>
        </w:rPr>
        <w:t xml:space="preserve">Le contenu spécifique et le calendrier des réunions seront définis par les </w:t>
      </w:r>
      <w:r w:rsidR="005E1441" w:rsidRPr="00202448">
        <w:rPr>
          <w:rFonts w:cs="Open Sans"/>
          <w:lang w:val="fr-FR"/>
        </w:rPr>
        <w:t>C</w:t>
      </w:r>
      <w:r w:rsidRPr="00202448">
        <w:rPr>
          <w:rFonts w:cs="Open Sans"/>
          <w:lang w:val="fr-FR"/>
        </w:rPr>
        <w:t xml:space="preserve">omités locaux (voir ART. 9) </w:t>
      </w:r>
      <w:r w:rsidR="005E1441" w:rsidRPr="00202448">
        <w:rPr>
          <w:rFonts w:cs="Open Sans"/>
          <w:lang w:val="fr-FR"/>
        </w:rPr>
        <w:t>avant</w:t>
      </w:r>
      <w:r w:rsidRPr="00202448">
        <w:rPr>
          <w:rFonts w:cs="Open Sans"/>
          <w:lang w:val="fr-FR"/>
        </w:rPr>
        <w:t xml:space="preserve"> </w:t>
      </w:r>
      <w:r w:rsidRPr="00202448">
        <w:rPr>
          <w:rFonts w:cs="Open Sans"/>
          <w:b/>
          <w:bCs/>
          <w:lang w:val="fr-FR"/>
        </w:rPr>
        <w:t>septembre 2021</w:t>
      </w:r>
      <w:r w:rsidRPr="00202448">
        <w:rPr>
          <w:rFonts w:cs="Open Sans"/>
          <w:lang w:val="fr-FR"/>
        </w:rPr>
        <w:t>.</w:t>
      </w:r>
    </w:p>
    <w:p w14:paraId="44656F34" w14:textId="39298E6E" w:rsidR="00533675" w:rsidRPr="00202448" w:rsidRDefault="00533675" w:rsidP="00533675">
      <w:pPr>
        <w:spacing w:before="120" w:after="120"/>
        <w:rPr>
          <w:rFonts w:cs="Open Sans"/>
          <w:lang w:val="fr-FR"/>
        </w:rPr>
      </w:pPr>
      <w:r w:rsidRPr="00202448">
        <w:rPr>
          <w:rFonts w:cs="Open Sans"/>
          <w:lang w:val="fr-FR"/>
        </w:rPr>
        <w:t xml:space="preserve">SÉANCES DE COACHING : </w:t>
      </w:r>
      <w:r w:rsidR="0005281A" w:rsidRPr="00202448">
        <w:rPr>
          <w:rFonts w:cs="Open Sans"/>
          <w:lang w:val="fr-FR"/>
        </w:rPr>
        <w:t>chaque entreprise bénéficiaire sera soutenue par un ou plusieurs experts choisis parmi ceux qui seront sélectionnés par chaque partenaire et qui collaboreront au sein de la « </w:t>
      </w:r>
      <w:proofErr w:type="spellStart"/>
      <w:r w:rsidR="0005281A" w:rsidRPr="00202448">
        <w:rPr>
          <w:rFonts w:cs="Open Sans"/>
          <w:lang w:val="fr-FR"/>
        </w:rPr>
        <w:t>Circular</w:t>
      </w:r>
      <w:proofErr w:type="spellEnd"/>
      <w:r w:rsidR="0005281A" w:rsidRPr="00202448">
        <w:rPr>
          <w:rFonts w:cs="Open Sans"/>
          <w:lang w:val="fr-FR"/>
        </w:rPr>
        <w:t xml:space="preserve"> Expert </w:t>
      </w:r>
      <w:proofErr w:type="spellStart"/>
      <w:r w:rsidR="0005281A" w:rsidRPr="00202448">
        <w:rPr>
          <w:rFonts w:cs="Open Sans"/>
          <w:lang w:val="fr-FR"/>
        </w:rPr>
        <w:t>Task</w:t>
      </w:r>
      <w:proofErr w:type="spellEnd"/>
      <w:r w:rsidR="0005281A" w:rsidRPr="00202448">
        <w:rPr>
          <w:rFonts w:cs="Open Sans"/>
          <w:lang w:val="fr-FR"/>
        </w:rPr>
        <w:t xml:space="preserve"> Force ».</w:t>
      </w:r>
      <w:r w:rsidR="000C1A74" w:rsidRPr="00202448">
        <w:rPr>
          <w:rFonts w:cs="Open Sans"/>
          <w:lang w:val="fr-FR"/>
        </w:rPr>
        <w:t xml:space="preserve"> L'accompagnement d'un ou plusieurs experts pour soutenir une entreprise se fera sur la base d'une analyse des compétences dont l'entreprise a besoin pour développer son business plan circulaire. L'objectif final de cette phase d'accompagnement individuel, qui durera au maximum 12 jours, est de développer un business plan concret lié à l'économie circulaire à partir de l'idée du candidat et de créer un pitch à présenter à des investisseurs potentiels. Chaque partenaire pourra prévoir que certaines activités de la phase de coaching individuel soient réalisées par des experts dans le mode de </w:t>
      </w:r>
      <w:proofErr w:type="spellStart"/>
      <w:r w:rsidR="000C1A74" w:rsidRPr="00202448">
        <w:rPr>
          <w:rFonts w:cs="Open Sans"/>
          <w:lang w:val="fr-FR"/>
        </w:rPr>
        <w:t>co</w:t>
      </w:r>
      <w:proofErr w:type="spellEnd"/>
      <w:r w:rsidR="000C1A74" w:rsidRPr="00202448">
        <w:rPr>
          <w:rFonts w:cs="Open Sans"/>
          <w:lang w:val="fr-FR"/>
        </w:rPr>
        <w:t>-conception, en impliquant des groupes de bénéficiaires pour les stimuler dans le travail en équipe et dans la collaboration. Dans le cadre de l'activité de coaching, il sera possible de soutenir les entreprises bénéficiaires par l'accompagnement d'un expert en communication pour la réalisation du pitch, pour un maximum de 2 jours.</w:t>
      </w:r>
    </w:p>
    <w:p w14:paraId="0A49EBF4" w14:textId="3240BF02" w:rsidR="000C1A74" w:rsidRPr="00202448" w:rsidRDefault="000C1A74" w:rsidP="00533675">
      <w:pPr>
        <w:spacing w:before="120" w:after="120"/>
        <w:rPr>
          <w:rFonts w:cs="Open Sans"/>
          <w:lang w:val="fr-FR"/>
        </w:rPr>
      </w:pPr>
      <w:r w:rsidRPr="00202448">
        <w:rPr>
          <w:rFonts w:cs="Open Sans"/>
          <w:lang w:val="fr-FR"/>
        </w:rPr>
        <w:t>PITCHING DAY : à la fin de la période de tutorat et de coaching sera organisé au niveau transfrontalier un événement pendant lequel toutes les jeunes entreprises bénéficiaires auront l’occasion de présenter leur projet, ainsi qu’aux partenaires d’ECO-CIRCuS, à un jury d’experts identifiés et sélectionnés par eux, parmi lesquels des investisseurs et prêteurs potentiels.</w:t>
      </w:r>
    </w:p>
    <w:p w14:paraId="78EC8717" w14:textId="7CE625A9" w:rsidR="000C1A74" w:rsidRPr="00202448" w:rsidRDefault="000C1A74" w:rsidP="00533675">
      <w:pPr>
        <w:spacing w:before="120" w:after="120"/>
        <w:rPr>
          <w:rFonts w:cs="Open Sans"/>
          <w:lang w:val="fr-FR"/>
        </w:rPr>
      </w:pPr>
      <w:r w:rsidRPr="00202448">
        <w:rPr>
          <w:rFonts w:cs="Open Sans"/>
          <w:lang w:val="fr-FR"/>
        </w:rPr>
        <w:t xml:space="preserve">ÉVÉNEMENT </w:t>
      </w:r>
      <w:r w:rsidR="00DF7D3A" w:rsidRPr="00202448">
        <w:rPr>
          <w:rFonts w:cs="Open Sans"/>
          <w:lang w:val="fr-FR"/>
        </w:rPr>
        <w:t xml:space="preserve">FINAL DU CONCOURS : à l'issue du </w:t>
      </w:r>
      <w:proofErr w:type="spellStart"/>
      <w:r w:rsidR="00D70DB1" w:rsidRPr="00202448">
        <w:rPr>
          <w:rFonts w:cs="Open Sans"/>
          <w:lang w:val="fr-FR"/>
        </w:rPr>
        <w:t>P</w:t>
      </w:r>
      <w:r w:rsidR="00DF7D3A" w:rsidRPr="00202448">
        <w:rPr>
          <w:rFonts w:cs="Open Sans"/>
          <w:lang w:val="fr-FR"/>
        </w:rPr>
        <w:t>itching</w:t>
      </w:r>
      <w:proofErr w:type="spellEnd"/>
      <w:r w:rsidR="00DF7D3A" w:rsidRPr="00202448">
        <w:rPr>
          <w:rFonts w:cs="Open Sans"/>
          <w:lang w:val="fr-FR"/>
        </w:rPr>
        <w:t xml:space="preserve"> </w:t>
      </w:r>
      <w:r w:rsidR="00D70DB1" w:rsidRPr="00202448">
        <w:rPr>
          <w:rFonts w:cs="Open Sans"/>
          <w:lang w:val="fr-FR"/>
        </w:rPr>
        <w:t>D</w:t>
      </w:r>
      <w:r w:rsidR="00DF7D3A" w:rsidRPr="00202448">
        <w:rPr>
          <w:rFonts w:cs="Open Sans"/>
          <w:lang w:val="fr-FR"/>
        </w:rPr>
        <w:t xml:space="preserve">ay, la Commission transfrontalière (voir ART. 9) établira la liste de classement finale, élaborée selon le processus d'évaluation prévu à l'ART. 8, pour identifier les entreprises (1 par territoire) qui ont préparé et présenté le meilleur plan d'affaires </w:t>
      </w:r>
      <w:r w:rsidR="00DA5FF5" w:rsidRPr="00202448">
        <w:rPr>
          <w:rFonts w:cs="Open Sans"/>
          <w:lang w:val="fr-FR"/>
        </w:rPr>
        <w:t>«</w:t>
      </w:r>
      <w:r w:rsidR="00DF7D3A" w:rsidRPr="00202448">
        <w:rPr>
          <w:rFonts w:cs="Open Sans"/>
          <w:lang w:val="fr-FR"/>
        </w:rPr>
        <w:t xml:space="preserve"> circulaire</w:t>
      </w:r>
      <w:r w:rsidR="00DA5FF5" w:rsidRPr="00202448">
        <w:rPr>
          <w:rFonts w:cs="Open Sans"/>
          <w:lang w:val="fr-FR"/>
        </w:rPr>
        <w:t> »</w:t>
      </w:r>
      <w:r w:rsidR="00DF7D3A" w:rsidRPr="00202448">
        <w:rPr>
          <w:rFonts w:cs="Open Sans"/>
          <w:lang w:val="fr-FR"/>
        </w:rPr>
        <w:t xml:space="preserve">. Ces entreprises seront remises des prix lors de l'événement final du </w:t>
      </w:r>
      <w:r w:rsidR="00EC2B77" w:rsidRPr="00202448">
        <w:rPr>
          <w:rFonts w:cs="Open Sans"/>
          <w:lang w:val="fr-FR"/>
        </w:rPr>
        <w:t>C</w:t>
      </w:r>
      <w:r w:rsidR="00DF7D3A" w:rsidRPr="00202448">
        <w:rPr>
          <w:rFonts w:cs="Open Sans"/>
          <w:lang w:val="fr-FR"/>
        </w:rPr>
        <w:t>oncours.</w:t>
      </w:r>
    </w:p>
    <w:p w14:paraId="21FA7692" w14:textId="6F4E7927" w:rsidR="00DF7D3A" w:rsidRPr="00202448" w:rsidRDefault="00DF7D3A" w:rsidP="00533675">
      <w:pPr>
        <w:spacing w:before="120" w:after="120"/>
        <w:rPr>
          <w:rFonts w:cs="Open Sans"/>
          <w:lang w:val="fr-FR"/>
        </w:rPr>
      </w:pPr>
      <w:r w:rsidRPr="00202448">
        <w:rPr>
          <w:rFonts w:cs="Open Sans"/>
          <w:lang w:val="fr-FR"/>
        </w:rPr>
        <w:t xml:space="preserve">L'ensemble du concours aura une durée maximale de 6 mois, même si elle n'est pas continue, à réaliser dans la période allant </w:t>
      </w:r>
      <w:r w:rsidRPr="009260A8">
        <w:rPr>
          <w:rFonts w:cs="Open Sans"/>
          <w:highlight w:val="yellow"/>
          <w:lang w:val="fr-FR"/>
        </w:rPr>
        <w:t>d</w:t>
      </w:r>
      <w:r w:rsidR="009260A8" w:rsidRPr="009260A8">
        <w:rPr>
          <w:rFonts w:cs="Open Sans"/>
          <w:highlight w:val="yellow"/>
          <w:lang w:val="fr-FR"/>
        </w:rPr>
        <w:t>’</w:t>
      </w:r>
      <w:r w:rsidR="009260A8" w:rsidRPr="009260A8">
        <w:rPr>
          <w:rFonts w:cs="Open Sans"/>
          <w:b/>
          <w:bCs/>
          <w:highlight w:val="yellow"/>
          <w:lang w:val="fr-FR"/>
        </w:rPr>
        <w:t>octobre</w:t>
      </w:r>
      <w:r w:rsidR="009260A8" w:rsidRPr="009260A8">
        <w:rPr>
          <w:rFonts w:cs="Open Sans"/>
          <w:highlight w:val="yellow"/>
          <w:lang w:val="fr-FR"/>
        </w:rPr>
        <w:t xml:space="preserve"> </w:t>
      </w:r>
      <w:r w:rsidRPr="009260A8">
        <w:rPr>
          <w:rFonts w:cs="Open Sans"/>
          <w:b/>
          <w:bCs/>
          <w:highlight w:val="yellow"/>
          <w:lang w:val="fr-FR"/>
        </w:rPr>
        <w:t>2021 à mai 2022</w:t>
      </w:r>
      <w:r w:rsidRPr="00202448">
        <w:rPr>
          <w:rFonts w:cs="Open Sans"/>
          <w:lang w:val="fr-FR"/>
        </w:rPr>
        <w:t xml:space="preserve">. Des services qualifiés de tutorat et de coaching seront fournis par des experts, français et italiens, sélectionnés par chaque partenaire et qui formeront la </w:t>
      </w:r>
      <w:proofErr w:type="spellStart"/>
      <w:r w:rsidRPr="00202448">
        <w:rPr>
          <w:rFonts w:cs="Open Sans"/>
          <w:lang w:val="fr-FR"/>
        </w:rPr>
        <w:t>Circular</w:t>
      </w:r>
      <w:proofErr w:type="spellEnd"/>
      <w:r w:rsidRPr="00202448">
        <w:rPr>
          <w:rFonts w:cs="Open Sans"/>
          <w:lang w:val="fr-FR"/>
        </w:rPr>
        <w:t xml:space="preserve"> Expert </w:t>
      </w:r>
      <w:proofErr w:type="spellStart"/>
      <w:r w:rsidRPr="00202448">
        <w:rPr>
          <w:rFonts w:cs="Open Sans"/>
          <w:lang w:val="fr-FR"/>
        </w:rPr>
        <w:t>Task</w:t>
      </w:r>
      <w:proofErr w:type="spellEnd"/>
      <w:r w:rsidRPr="00202448">
        <w:rPr>
          <w:rFonts w:cs="Open Sans"/>
          <w:lang w:val="fr-FR"/>
        </w:rPr>
        <w:t xml:space="preserve"> Force.</w:t>
      </w:r>
    </w:p>
    <w:p w14:paraId="32D65572" w14:textId="76499880" w:rsidR="001B5632" w:rsidRPr="00202448" w:rsidRDefault="00DF7D3A" w:rsidP="00533675">
      <w:pPr>
        <w:spacing w:before="120" w:after="120"/>
        <w:rPr>
          <w:rFonts w:cs="Open Sans"/>
          <w:b/>
          <w:bCs/>
          <w:lang w:val="fr-FR"/>
        </w:rPr>
      </w:pPr>
      <w:r w:rsidRPr="00202448">
        <w:rPr>
          <w:rFonts w:cs="Open Sans"/>
          <w:b/>
          <w:bCs/>
          <w:lang w:val="fr-FR"/>
        </w:rPr>
        <w:t xml:space="preserve">ART.5 </w:t>
      </w:r>
      <w:r w:rsidR="006529A9" w:rsidRPr="00202448">
        <w:rPr>
          <w:rFonts w:cs="Open Sans"/>
          <w:b/>
          <w:bCs/>
          <w:lang w:val="fr-FR"/>
        </w:rPr>
        <w:t>Budget, nature et montant de l’aide</w:t>
      </w:r>
    </w:p>
    <w:p w14:paraId="3702C192" w14:textId="24EE0CAA" w:rsidR="006529A9" w:rsidRPr="00202448" w:rsidRDefault="006529A9" w:rsidP="00EC2B77">
      <w:pPr>
        <w:spacing w:before="120" w:after="120"/>
        <w:rPr>
          <w:rFonts w:cs="Open Sans"/>
          <w:lang w:val="fr-FR"/>
        </w:rPr>
      </w:pPr>
      <w:r w:rsidRPr="00202448">
        <w:rPr>
          <w:rFonts w:cs="Open Sans"/>
          <w:lang w:val="fr-FR"/>
        </w:rPr>
        <w:t xml:space="preserve">Pour la fourniture des services relatifs à l’avis, le projet a prévu </w:t>
      </w:r>
      <w:r w:rsidR="001B5632" w:rsidRPr="00202448">
        <w:rPr>
          <w:rFonts w:cs="Open Sans"/>
          <w:lang w:val="fr-FR"/>
        </w:rPr>
        <w:t xml:space="preserve">un budget de </w:t>
      </w:r>
      <w:r w:rsidR="00833DE0" w:rsidRPr="00202448">
        <w:rPr>
          <w:rFonts w:cs="Open Sans"/>
          <w:lang w:val="fr-FR"/>
        </w:rPr>
        <w:t xml:space="preserve">€ </w:t>
      </w:r>
      <w:r w:rsidR="001B5632" w:rsidRPr="00202448">
        <w:rPr>
          <w:rFonts w:cs="Open Sans"/>
          <w:lang w:val="fr-FR"/>
        </w:rPr>
        <w:t xml:space="preserve">325.000, répartis à parts égales entre les partenaires (à l'exclusion d'Innolabs) pour un montant de </w:t>
      </w:r>
      <w:r w:rsidR="00833DE0" w:rsidRPr="00202448">
        <w:rPr>
          <w:rFonts w:cs="Open Sans"/>
          <w:lang w:val="fr-FR"/>
        </w:rPr>
        <w:t xml:space="preserve">€ </w:t>
      </w:r>
      <w:r w:rsidR="001B5632" w:rsidRPr="00202448">
        <w:rPr>
          <w:rFonts w:cs="Open Sans"/>
          <w:lang w:val="fr-FR"/>
        </w:rPr>
        <w:t xml:space="preserve">65.000,00, dont </w:t>
      </w:r>
      <w:r w:rsidR="00833DE0" w:rsidRPr="00202448">
        <w:rPr>
          <w:rFonts w:cs="Open Sans"/>
          <w:lang w:val="fr-FR"/>
        </w:rPr>
        <w:t>€</w:t>
      </w:r>
      <w:r w:rsidR="00EC2B77" w:rsidRPr="00202448">
        <w:rPr>
          <w:rFonts w:cs="Open Sans"/>
          <w:lang w:val="fr-FR"/>
        </w:rPr>
        <w:t> </w:t>
      </w:r>
      <w:r w:rsidR="001B5632" w:rsidRPr="00202448">
        <w:rPr>
          <w:rFonts w:cs="Open Sans"/>
          <w:lang w:val="fr-FR"/>
        </w:rPr>
        <w:t xml:space="preserve">60.000,00 pour les services de tutorat et de coaching et </w:t>
      </w:r>
      <w:r w:rsidR="00833DE0" w:rsidRPr="00202448">
        <w:rPr>
          <w:rFonts w:cs="Open Sans"/>
          <w:lang w:val="fr-FR"/>
        </w:rPr>
        <w:t xml:space="preserve">€ </w:t>
      </w:r>
      <w:r w:rsidR="001B5632" w:rsidRPr="00202448">
        <w:rPr>
          <w:rFonts w:cs="Open Sans"/>
          <w:lang w:val="fr-FR"/>
        </w:rPr>
        <w:t>5.000,00 pour les prix.</w:t>
      </w:r>
    </w:p>
    <w:p w14:paraId="514C87D1" w14:textId="7718DC10" w:rsidR="001B5632" w:rsidRPr="00202448" w:rsidRDefault="001B5632" w:rsidP="00EC2B77">
      <w:pPr>
        <w:spacing w:before="120" w:after="120"/>
        <w:rPr>
          <w:lang w:val="fr-FR"/>
        </w:rPr>
      </w:pPr>
      <w:r w:rsidRPr="00202448">
        <w:rPr>
          <w:rFonts w:cs="Open Sans"/>
          <w:lang w:val="fr-FR"/>
        </w:rPr>
        <w:t xml:space="preserve">Chaque entreprise </w:t>
      </w:r>
      <w:r w:rsidR="000D732A" w:rsidRPr="00202448">
        <w:rPr>
          <w:rFonts w:cs="Open Sans"/>
          <w:lang w:val="fr-FR"/>
        </w:rPr>
        <w:t xml:space="preserve">pourra bénéficier d’une aide « indirecte » (sous la forme des services visés à l’ART. 4) d'un montant maximal de </w:t>
      </w:r>
      <w:r w:rsidR="00833DE0" w:rsidRPr="00202448">
        <w:rPr>
          <w:rFonts w:cs="Open Sans"/>
          <w:b/>
          <w:bCs/>
          <w:lang w:val="fr-FR"/>
        </w:rPr>
        <w:t xml:space="preserve">€ </w:t>
      </w:r>
      <w:r w:rsidR="000D732A" w:rsidRPr="00202448">
        <w:rPr>
          <w:rFonts w:cs="Open Sans"/>
          <w:b/>
          <w:bCs/>
          <w:lang w:val="fr-FR"/>
        </w:rPr>
        <w:t>12.000</w:t>
      </w:r>
      <w:r w:rsidR="000D732A" w:rsidRPr="00202448">
        <w:rPr>
          <w:rFonts w:cs="Open Sans"/>
          <w:lang w:val="fr-FR"/>
        </w:rPr>
        <w:t xml:space="preserve">, accordée au titre de la règle de minimis conformément au règlement </w:t>
      </w:r>
      <w:r w:rsidR="000D732A" w:rsidRPr="00202448">
        <w:rPr>
          <w:lang w:val="fr-FR"/>
        </w:rPr>
        <w:t>n° 1407/2013 du 18/12/2013 (JO L 352 du 24/12/2013) et ses modifications ultérieures.</w:t>
      </w:r>
    </w:p>
    <w:p w14:paraId="0410861F" w14:textId="091CB3AD" w:rsidR="000D732A" w:rsidRPr="00202448" w:rsidRDefault="000D732A" w:rsidP="00EC2B77">
      <w:pPr>
        <w:spacing w:before="120" w:after="120"/>
        <w:rPr>
          <w:rFonts w:cs="Open Sans"/>
          <w:lang w:val="fr-FR"/>
        </w:rPr>
      </w:pPr>
      <w:r w:rsidRPr="00202448">
        <w:rPr>
          <w:rFonts w:cs="Open Sans"/>
          <w:lang w:val="fr-FR"/>
        </w:rPr>
        <w:t>Cet avantage est quantifié comme suit :</w:t>
      </w:r>
    </w:p>
    <w:p w14:paraId="2D25A05B" w14:textId="137EAB10" w:rsidR="000D732A" w:rsidRPr="00202448" w:rsidRDefault="00833DE0" w:rsidP="00EC2B77">
      <w:pPr>
        <w:pStyle w:val="Paragrafoelenco"/>
        <w:numPr>
          <w:ilvl w:val="0"/>
          <w:numId w:val="31"/>
        </w:numPr>
        <w:spacing w:before="120" w:after="120"/>
        <w:rPr>
          <w:rFonts w:cs="Open Sans"/>
          <w:lang w:val="fr-FR"/>
        </w:rPr>
      </w:pPr>
      <w:r w:rsidRPr="00202448">
        <w:rPr>
          <w:rFonts w:cs="Open Sans"/>
          <w:b/>
          <w:bCs/>
          <w:lang w:val="fr-FR"/>
        </w:rPr>
        <w:t>€ 3.000</w:t>
      </w:r>
      <w:r w:rsidRPr="00202448">
        <w:rPr>
          <w:rFonts w:cs="Open Sans"/>
          <w:lang w:val="fr-FR"/>
        </w:rPr>
        <w:t xml:space="preserve">, </w:t>
      </w:r>
      <w:r w:rsidR="00202F94" w:rsidRPr="00202448">
        <w:rPr>
          <w:rFonts w:cs="Open Sans"/>
          <w:lang w:val="fr-FR"/>
        </w:rPr>
        <w:t xml:space="preserve">équivalent à un maximum de 6 jours, pour les services fournis par les experts de la </w:t>
      </w:r>
      <w:r w:rsidR="00202F94" w:rsidRPr="00202448">
        <w:rPr>
          <w:rFonts w:cs="Open Sans"/>
          <w:lang w:val="fr-FR"/>
        </w:rPr>
        <w:lastRenderedPageBreak/>
        <w:t>CE-TF (les professionnels individuels ou associés, les indépendants, les entreprises ou les organismes qui peuvent fournir des conseils sur l'entrepreneuriat circulaire) pendant les sessions de tutorat</w:t>
      </w:r>
      <w:r w:rsidR="00DA5FF5" w:rsidRPr="00202448">
        <w:rPr>
          <w:rFonts w:cs="Open Sans"/>
          <w:lang w:val="fr-FR"/>
        </w:rPr>
        <w:t> ;</w:t>
      </w:r>
    </w:p>
    <w:p w14:paraId="109A5694" w14:textId="366DC1AD" w:rsidR="00202F94" w:rsidRPr="00202448" w:rsidRDefault="00202F94" w:rsidP="00EC2B77">
      <w:pPr>
        <w:pStyle w:val="Paragrafoelenco"/>
        <w:numPr>
          <w:ilvl w:val="0"/>
          <w:numId w:val="31"/>
        </w:numPr>
        <w:spacing w:before="120" w:after="120"/>
        <w:rPr>
          <w:rFonts w:cs="Open Sans"/>
          <w:lang w:val="fr-FR"/>
        </w:rPr>
      </w:pPr>
      <w:r w:rsidRPr="00202448">
        <w:rPr>
          <w:rFonts w:cs="Open Sans"/>
          <w:b/>
          <w:bCs/>
          <w:lang w:val="fr-FR"/>
        </w:rPr>
        <w:t>€ 9.000</w:t>
      </w:r>
      <w:r w:rsidRPr="00202448">
        <w:rPr>
          <w:rFonts w:cs="Open Sans"/>
          <w:lang w:val="fr-FR"/>
        </w:rPr>
        <w:t>, équivalent à un maximum de 6 jours, pour les services fournis par les experts de la CE-TF (les professionnels individuels ou associés, les indépendants, les entreprises ou les organismes qui peuvent fournir des conseils sur l'entrepreneuriat circulaire) pendant les sessions de coaching.</w:t>
      </w:r>
    </w:p>
    <w:p w14:paraId="2BABD48D" w14:textId="5F6521CF" w:rsidR="00202F94" w:rsidRPr="00202448" w:rsidRDefault="00202F94" w:rsidP="00EC2B77">
      <w:pPr>
        <w:spacing w:before="120" w:after="120"/>
        <w:rPr>
          <w:rFonts w:cs="Open Sans"/>
          <w:lang w:val="fr-FR"/>
        </w:rPr>
      </w:pPr>
      <w:r w:rsidRPr="00202448">
        <w:rPr>
          <w:rFonts w:cs="Open Sans"/>
          <w:lang w:val="fr-FR"/>
        </w:rPr>
        <w:t xml:space="preserve">Seulement </w:t>
      </w:r>
      <w:r w:rsidRPr="00202448">
        <w:rPr>
          <w:rFonts w:cs="Open Sans"/>
          <w:b/>
          <w:bCs/>
          <w:lang w:val="fr-FR"/>
        </w:rPr>
        <w:t>5 entreprises</w:t>
      </w:r>
      <w:r w:rsidRPr="00202448">
        <w:rPr>
          <w:rFonts w:cs="Open Sans"/>
          <w:lang w:val="fr-FR"/>
        </w:rPr>
        <w:t xml:space="preserve"> (1 pour chaque territoire) peuvent bénéficier d'une aide indirecte supplémentaire, également accordée en « de minimis », égale à un maximum de </w:t>
      </w:r>
      <w:r w:rsidRPr="00202448">
        <w:rPr>
          <w:rFonts w:cs="Open Sans"/>
          <w:b/>
          <w:bCs/>
          <w:lang w:val="fr-FR"/>
        </w:rPr>
        <w:t>€ 5.000</w:t>
      </w:r>
      <w:r w:rsidRPr="00202448">
        <w:rPr>
          <w:rFonts w:cs="Open Sans"/>
          <w:lang w:val="fr-FR"/>
        </w:rPr>
        <w:t xml:space="preserve">, en reconnaissance du meilleur projet de </w:t>
      </w:r>
      <w:r w:rsidR="00DA5FF5" w:rsidRPr="00202448">
        <w:rPr>
          <w:rFonts w:cs="Open Sans"/>
          <w:lang w:val="fr-FR"/>
        </w:rPr>
        <w:t>« </w:t>
      </w:r>
      <w:r w:rsidRPr="00202448">
        <w:rPr>
          <w:rFonts w:cs="Open Sans"/>
          <w:lang w:val="fr-FR"/>
        </w:rPr>
        <w:t>évolution vers la circularité</w:t>
      </w:r>
      <w:r w:rsidR="00DA5FF5" w:rsidRPr="00202448">
        <w:rPr>
          <w:rFonts w:cs="Open Sans"/>
          <w:lang w:val="fr-FR"/>
        </w:rPr>
        <w:t> »</w:t>
      </w:r>
      <w:r w:rsidRPr="00202448">
        <w:rPr>
          <w:rFonts w:cs="Open Sans"/>
          <w:lang w:val="fr-FR"/>
        </w:rPr>
        <w:t xml:space="preserve"> (business plan + pitch) suite à l'évaluation finale réalisée selon les ART. 8 et 10.</w:t>
      </w:r>
    </w:p>
    <w:p w14:paraId="7360F97B" w14:textId="668987F8" w:rsidR="00202F94" w:rsidRPr="00202448" w:rsidRDefault="00202F94" w:rsidP="00EC2B77">
      <w:pPr>
        <w:spacing w:before="120" w:after="120"/>
        <w:rPr>
          <w:rFonts w:cs="Open Sans"/>
          <w:lang w:val="fr-FR"/>
        </w:rPr>
      </w:pPr>
      <w:r w:rsidRPr="00202448">
        <w:rPr>
          <w:rFonts w:cs="Open Sans"/>
          <w:lang w:val="fr-FR"/>
        </w:rPr>
        <w:t xml:space="preserve">25 entreprises (5 par territoire) auront accès aux services du </w:t>
      </w:r>
      <w:r w:rsidR="00DA5FF5" w:rsidRPr="00202448">
        <w:rPr>
          <w:rFonts w:cs="Open Sans"/>
          <w:lang w:val="fr-FR"/>
        </w:rPr>
        <w:t>« </w:t>
      </w:r>
      <w:r w:rsidRPr="00202448">
        <w:rPr>
          <w:rFonts w:cs="Open Sans"/>
          <w:lang w:val="fr-FR"/>
        </w:rPr>
        <w:t>Concours Jeunes Entreprises de l’</w:t>
      </w:r>
      <w:r w:rsidRPr="00202448">
        <w:rPr>
          <w:rFonts w:ascii="Calibri" w:hAnsi="Calibri" w:cs="Calibri"/>
          <w:lang w:val="fr-FR"/>
        </w:rPr>
        <w:t>É</w:t>
      </w:r>
      <w:r w:rsidRPr="00202448">
        <w:rPr>
          <w:rFonts w:cs="Open Sans"/>
          <w:lang w:val="fr-FR"/>
        </w:rPr>
        <w:t>conomie Circulaire</w:t>
      </w:r>
      <w:r w:rsidR="00DA5FF5" w:rsidRPr="00202448">
        <w:rPr>
          <w:rFonts w:cs="Open Sans"/>
          <w:lang w:val="fr-FR"/>
        </w:rPr>
        <w:t> »</w:t>
      </w:r>
      <w:r w:rsidRPr="00202448">
        <w:rPr>
          <w:rFonts w:cs="Open Sans"/>
          <w:lang w:val="fr-FR"/>
        </w:rPr>
        <w:t xml:space="preserve">. Dans le cas où les demandes de participation seraient globalement ou territorialement inférieures à la quantification prévue, des mesures correctives peuvent être activées, à convenir dans le Comité de Pilotage et sur lesquelles, si nécessaire, l'approbation des différents niveaux de gouvernance du programme </w:t>
      </w:r>
      <w:proofErr w:type="gramStart"/>
      <w:r w:rsidRPr="00202448">
        <w:rPr>
          <w:rFonts w:cs="Open Sans"/>
          <w:lang w:val="fr-FR"/>
        </w:rPr>
        <w:t>devrait</w:t>
      </w:r>
      <w:proofErr w:type="gramEnd"/>
      <w:r w:rsidRPr="00202448">
        <w:rPr>
          <w:rFonts w:cs="Open Sans"/>
          <w:lang w:val="fr-FR"/>
        </w:rPr>
        <w:t xml:space="preserve"> être demandée, selon le type de mesure corrective.</w:t>
      </w:r>
    </w:p>
    <w:p w14:paraId="1FD5549D" w14:textId="6316BC25" w:rsidR="00202F94" w:rsidRPr="00202448" w:rsidRDefault="00202F94" w:rsidP="00EC2B77">
      <w:pPr>
        <w:spacing w:before="120" w:after="120"/>
        <w:rPr>
          <w:rFonts w:cs="Open Sans"/>
          <w:lang w:val="fr-FR"/>
        </w:rPr>
      </w:pPr>
      <w:r w:rsidRPr="00202448">
        <w:rPr>
          <w:rFonts w:cs="Open Sans"/>
          <w:lang w:val="fr-FR"/>
        </w:rPr>
        <w:t xml:space="preserve">Une fois le nombre d'entreprises bénéficiaires validé, le budget « </w:t>
      </w:r>
      <w:r w:rsidR="00C308E0" w:rsidRPr="00202448">
        <w:rPr>
          <w:rFonts w:cs="Open Sans"/>
          <w:lang w:val="fr-FR"/>
        </w:rPr>
        <w:t>d’</w:t>
      </w:r>
      <w:r w:rsidRPr="00202448">
        <w:rPr>
          <w:rFonts w:cs="Open Sans"/>
          <w:lang w:val="fr-FR"/>
        </w:rPr>
        <w:t>aides indirectes</w:t>
      </w:r>
      <w:r w:rsidR="00C308E0" w:rsidRPr="00202448">
        <w:rPr>
          <w:rFonts w:cs="Open Sans"/>
          <w:lang w:val="fr-FR"/>
        </w:rPr>
        <w:t> »</w:t>
      </w:r>
      <w:r w:rsidRPr="00202448">
        <w:rPr>
          <w:rFonts w:cs="Open Sans"/>
          <w:lang w:val="fr-FR"/>
        </w:rPr>
        <w:t xml:space="preserve"> de chaque entreprise bénéficiaire pour l'activité de tutorat et de coaching sera approuvé par la Commission transfrontalière. Ce montant sera rapidement communiqué par les partenaires pour les formalités administratives liées au régime de minimis. La même procédure doit être suivie pour les entreprises qui reçoivent des </w:t>
      </w:r>
      <w:r w:rsidR="00C308E0" w:rsidRPr="00202448">
        <w:rPr>
          <w:rFonts w:cs="Open Sans"/>
          <w:lang w:val="fr-FR"/>
        </w:rPr>
        <w:t>prix</w:t>
      </w:r>
      <w:r w:rsidRPr="00202448">
        <w:rPr>
          <w:rFonts w:cs="Open Sans"/>
          <w:lang w:val="fr-FR"/>
        </w:rPr>
        <w:t>.</w:t>
      </w:r>
    </w:p>
    <w:p w14:paraId="39A9A76B" w14:textId="753D92CD" w:rsidR="00C308E0" w:rsidRPr="00202448" w:rsidRDefault="0023723C" w:rsidP="00EC2B77">
      <w:pPr>
        <w:spacing w:before="120" w:after="120"/>
        <w:rPr>
          <w:rFonts w:cs="Open Sans"/>
          <w:lang w:val="fr-FR"/>
        </w:rPr>
      </w:pPr>
      <w:r w:rsidRPr="00202448">
        <w:rPr>
          <w:rFonts w:cs="Open Sans"/>
          <w:lang w:val="fr-FR"/>
        </w:rPr>
        <w:t>Le représentant légal de chaque entreprise qui demande une aide au titre du régime de minimis sera tenu de signer une déclaration indiquant le montant des aides de minimis perçues au cours de l'exercice précédant celui de la demande et des deux années précédentes. La nouvelle aide ne peut être accordée que si, ajoutée à celles déjà obtenues au cours des trois exercices en question, elle ne dépasse pas le plafond fixé par le règlement de référence, qui est de € 200.000. La déclaration de minimis doit être remplie à l'aide des modèles ci-joints (versions italienne et française). Le contrôle des aides de minimis de l'exercice en cours et des deux exercices précédents sera effectué au moyen du « </w:t>
      </w:r>
      <w:proofErr w:type="spellStart"/>
      <w:r w:rsidRPr="00202448">
        <w:rPr>
          <w:rFonts w:cs="Open Sans"/>
          <w:lang w:val="fr-FR"/>
        </w:rPr>
        <w:t>Registro</w:t>
      </w:r>
      <w:proofErr w:type="spellEnd"/>
      <w:r w:rsidRPr="00202448">
        <w:rPr>
          <w:rFonts w:cs="Open Sans"/>
          <w:lang w:val="fr-FR"/>
        </w:rPr>
        <w:t xml:space="preserve"> Nazionale </w:t>
      </w:r>
      <w:proofErr w:type="spellStart"/>
      <w:r w:rsidRPr="00202448">
        <w:rPr>
          <w:rFonts w:cs="Open Sans"/>
          <w:lang w:val="fr-FR"/>
        </w:rPr>
        <w:t>Aiuti</w:t>
      </w:r>
      <w:proofErr w:type="spellEnd"/>
      <w:r w:rsidRPr="00202448">
        <w:rPr>
          <w:rFonts w:cs="Open Sans"/>
          <w:lang w:val="fr-FR"/>
        </w:rPr>
        <w:t> » pour les partenaires italiens.</w:t>
      </w:r>
    </w:p>
    <w:p w14:paraId="5635BA0F" w14:textId="65F95B16" w:rsidR="00D53369" w:rsidRPr="00202448" w:rsidRDefault="00D53369" w:rsidP="00202F94">
      <w:pPr>
        <w:spacing w:before="120" w:after="120"/>
        <w:rPr>
          <w:rFonts w:cs="Open Sans"/>
          <w:b/>
          <w:bCs/>
          <w:lang w:val="fr-FR"/>
        </w:rPr>
      </w:pPr>
      <w:r w:rsidRPr="00202448">
        <w:rPr>
          <w:rFonts w:cs="Open Sans"/>
          <w:b/>
          <w:bCs/>
          <w:lang w:val="fr-FR"/>
        </w:rPr>
        <w:t>ART. 6 Modalités de prestation des services de tutorat et de coaching</w:t>
      </w:r>
    </w:p>
    <w:p w14:paraId="551AE0CA" w14:textId="0004B830" w:rsidR="008B7763" w:rsidRPr="00202448" w:rsidRDefault="00D53369" w:rsidP="00D53369">
      <w:pPr>
        <w:spacing w:before="120" w:after="120"/>
        <w:rPr>
          <w:rFonts w:cs="Open Sans"/>
          <w:lang w:val="fr-FR"/>
        </w:rPr>
      </w:pPr>
      <w:r w:rsidRPr="00202448">
        <w:rPr>
          <w:rFonts w:cs="Open Sans"/>
          <w:lang w:val="fr-FR"/>
        </w:rPr>
        <w:t xml:space="preserve">Les services de tutorat du </w:t>
      </w:r>
      <w:r w:rsidR="00DA5FF5" w:rsidRPr="00202448">
        <w:rPr>
          <w:rFonts w:cs="Open Sans"/>
          <w:lang w:val="fr-FR"/>
        </w:rPr>
        <w:t>« </w:t>
      </w:r>
      <w:r w:rsidRPr="00202448">
        <w:rPr>
          <w:rFonts w:cs="Open Sans"/>
          <w:lang w:val="fr-FR"/>
        </w:rPr>
        <w:t>Concours Jeunes Entreprises de l’</w:t>
      </w:r>
      <w:r w:rsidRPr="00202448">
        <w:rPr>
          <w:rFonts w:ascii="Calibri" w:hAnsi="Calibri" w:cs="Calibri"/>
          <w:lang w:val="fr-FR"/>
        </w:rPr>
        <w:t>É</w:t>
      </w:r>
      <w:r w:rsidRPr="00202448">
        <w:rPr>
          <w:rFonts w:cs="Open Sans"/>
          <w:lang w:val="fr-FR"/>
        </w:rPr>
        <w:t>conomie Circulaire</w:t>
      </w:r>
      <w:r w:rsidR="00DA5FF5" w:rsidRPr="00202448">
        <w:rPr>
          <w:rFonts w:cs="Open Sans"/>
          <w:lang w:val="fr-FR"/>
        </w:rPr>
        <w:t> »</w:t>
      </w:r>
      <w:r w:rsidRPr="00202448">
        <w:rPr>
          <w:rFonts w:cs="Open Sans"/>
          <w:lang w:val="fr-FR"/>
        </w:rPr>
        <w:t xml:space="preserve"> seront assurés par des experts, français et italiens, sélectionnés par les partenaires, qui formeront la </w:t>
      </w:r>
      <w:proofErr w:type="spellStart"/>
      <w:r w:rsidRPr="00202448">
        <w:rPr>
          <w:rFonts w:cs="Open Sans"/>
          <w:lang w:val="fr-FR"/>
        </w:rPr>
        <w:t>Circular</w:t>
      </w:r>
      <w:proofErr w:type="spellEnd"/>
      <w:r w:rsidRPr="00202448">
        <w:rPr>
          <w:rFonts w:cs="Open Sans"/>
          <w:lang w:val="fr-FR"/>
        </w:rPr>
        <w:t xml:space="preserve"> Expert </w:t>
      </w:r>
      <w:proofErr w:type="spellStart"/>
      <w:r w:rsidRPr="00202448">
        <w:rPr>
          <w:rFonts w:cs="Open Sans"/>
          <w:lang w:val="fr-FR"/>
        </w:rPr>
        <w:t>Task</w:t>
      </w:r>
      <w:proofErr w:type="spellEnd"/>
      <w:r w:rsidRPr="00202448">
        <w:rPr>
          <w:rFonts w:cs="Open Sans"/>
          <w:lang w:val="fr-FR"/>
        </w:rPr>
        <w:t xml:space="preserve"> Force. Par conséquent, chaque partenaire procédera, conformément au </w:t>
      </w:r>
      <w:r w:rsidRPr="00202448">
        <w:rPr>
          <w:lang w:val="fr-FR"/>
        </w:rPr>
        <w:t xml:space="preserve">« Manuel pour la présentation des candidatures et la gestion des projets et rapport final d'activité – Section D » </w:t>
      </w:r>
      <w:r w:rsidRPr="00202448">
        <w:rPr>
          <w:rFonts w:cs="Open Sans"/>
          <w:lang w:val="fr-FR"/>
        </w:rPr>
        <w:t xml:space="preserve">du </w:t>
      </w:r>
      <w:r w:rsidRPr="00202448">
        <w:rPr>
          <w:lang w:val="fr-FR"/>
        </w:rPr>
        <w:t xml:space="preserve">Programme de coopération territoriale </w:t>
      </w:r>
      <w:proofErr w:type="spellStart"/>
      <w:r w:rsidRPr="00202448">
        <w:rPr>
          <w:lang w:val="fr-FR"/>
        </w:rPr>
        <w:t>Interreg</w:t>
      </w:r>
      <w:proofErr w:type="spellEnd"/>
      <w:r w:rsidRPr="00202448">
        <w:rPr>
          <w:lang w:val="fr-FR"/>
        </w:rPr>
        <w:t xml:space="preserve"> </w:t>
      </w:r>
      <w:proofErr w:type="spellStart"/>
      <w:r w:rsidRPr="00202448">
        <w:rPr>
          <w:lang w:val="fr-FR"/>
        </w:rPr>
        <w:t>Marittimo</w:t>
      </w:r>
      <w:proofErr w:type="spellEnd"/>
      <w:r w:rsidRPr="00202448">
        <w:rPr>
          <w:lang w:val="fr-FR"/>
        </w:rPr>
        <w:t xml:space="preserve"> Italie-France 2014-2020</w:t>
      </w:r>
      <w:r w:rsidRPr="00202448">
        <w:rPr>
          <w:rFonts w:cs="Open Sans"/>
          <w:lang w:val="fr-FR"/>
        </w:rPr>
        <w:t xml:space="preserve"> et à ses règlements intérieurs, à la sélection de</w:t>
      </w:r>
      <w:r w:rsidR="009A345C" w:rsidRPr="00202448">
        <w:rPr>
          <w:rFonts w:cs="Open Sans"/>
          <w:lang w:val="fr-FR"/>
        </w:rPr>
        <w:t>s</w:t>
      </w:r>
      <w:r w:rsidRPr="00202448">
        <w:rPr>
          <w:rFonts w:cs="Open Sans"/>
          <w:lang w:val="fr-FR"/>
        </w:rPr>
        <w:t xml:space="preserve"> expert</w:t>
      </w:r>
      <w:r w:rsidR="009A345C" w:rsidRPr="00202448">
        <w:rPr>
          <w:rFonts w:cs="Open Sans"/>
          <w:lang w:val="fr-FR"/>
        </w:rPr>
        <w:t>s</w:t>
      </w:r>
      <w:r w:rsidRPr="00202448">
        <w:rPr>
          <w:rFonts w:cs="Open Sans"/>
          <w:lang w:val="fr-FR"/>
        </w:rPr>
        <w:t xml:space="preserve"> qui participer</w:t>
      </w:r>
      <w:r w:rsidR="009A345C" w:rsidRPr="00202448">
        <w:rPr>
          <w:rFonts w:cs="Open Sans"/>
          <w:lang w:val="fr-FR"/>
        </w:rPr>
        <w:t>ont</w:t>
      </w:r>
      <w:r w:rsidRPr="00202448">
        <w:rPr>
          <w:rFonts w:cs="Open Sans"/>
          <w:lang w:val="fr-FR"/>
        </w:rPr>
        <w:t xml:space="preserve"> aux activités, dans le respect du principe de compétence, de non-discrimination et d'égalité de traitement.</w:t>
      </w:r>
    </w:p>
    <w:p w14:paraId="25D22D0B" w14:textId="20A7FB63" w:rsidR="00902F74" w:rsidRPr="00202448" w:rsidRDefault="00902F74" w:rsidP="00D53369">
      <w:pPr>
        <w:spacing w:before="120" w:after="120"/>
        <w:rPr>
          <w:rFonts w:cs="Open Sans"/>
          <w:lang w:val="fr-FR"/>
        </w:rPr>
      </w:pPr>
      <w:r w:rsidRPr="00202448">
        <w:rPr>
          <w:rFonts w:cs="Open Sans"/>
          <w:lang w:val="fr-FR"/>
        </w:rPr>
        <w:t xml:space="preserve">Chaque partenaire mettra en œuvre les actions qui sont nécessaires en fonction des besoins des </w:t>
      </w:r>
      <w:r w:rsidRPr="00202448">
        <w:rPr>
          <w:rFonts w:cs="Open Sans"/>
          <w:lang w:val="fr-FR"/>
        </w:rPr>
        <w:lastRenderedPageBreak/>
        <w:t>candidats.</w:t>
      </w:r>
    </w:p>
    <w:p w14:paraId="0FD14183" w14:textId="5AEA4042" w:rsidR="00902F74" w:rsidRPr="00202448" w:rsidRDefault="00902F74" w:rsidP="00902F74">
      <w:pPr>
        <w:spacing w:before="120" w:after="120"/>
        <w:rPr>
          <w:rFonts w:cs="Open Sans"/>
          <w:b/>
          <w:bCs/>
          <w:lang w:val="fr-FR"/>
        </w:rPr>
      </w:pPr>
      <w:r w:rsidRPr="00202448">
        <w:rPr>
          <w:rFonts w:cs="Open Sans"/>
          <w:b/>
          <w:bCs/>
          <w:lang w:val="fr-FR"/>
        </w:rPr>
        <w:t>ART. 7</w:t>
      </w:r>
      <w:r w:rsidRPr="00202448">
        <w:rPr>
          <w:rFonts w:cs="Open Sans"/>
          <w:lang w:val="fr-FR"/>
        </w:rPr>
        <w:t xml:space="preserve"> </w:t>
      </w:r>
      <w:r w:rsidRPr="00202448">
        <w:rPr>
          <w:rFonts w:cs="Open Sans"/>
          <w:b/>
          <w:bCs/>
          <w:lang w:val="fr-FR"/>
        </w:rPr>
        <w:t>Modalités et délais de candidature</w:t>
      </w:r>
    </w:p>
    <w:p w14:paraId="3F4EFCDD" w14:textId="73EDE1CE" w:rsidR="00504E6C" w:rsidRPr="00202448" w:rsidRDefault="00504E6C" w:rsidP="00504E6C">
      <w:pPr>
        <w:spacing w:before="120" w:after="120"/>
        <w:rPr>
          <w:rFonts w:cs="Open Sans"/>
          <w:lang w:val="fr-FR"/>
        </w:rPr>
      </w:pPr>
      <w:r w:rsidRPr="00202448">
        <w:rPr>
          <w:rFonts w:cs="Open Sans"/>
          <w:lang w:val="fr-FR"/>
        </w:rPr>
        <w:t xml:space="preserve">Les demandes peuvent être soumises à partir de 9h00 le 03 mai 2021 jusqu'à 17h00 le </w:t>
      </w:r>
      <w:r w:rsidRPr="00981D5D">
        <w:rPr>
          <w:rFonts w:cs="Open Sans"/>
          <w:highlight w:val="yellow"/>
          <w:lang w:val="fr-FR"/>
        </w:rPr>
        <w:t>3</w:t>
      </w:r>
      <w:r w:rsidR="00D35E71">
        <w:rPr>
          <w:rFonts w:cs="Open Sans"/>
          <w:highlight w:val="yellow"/>
          <w:lang w:val="fr-FR"/>
        </w:rPr>
        <w:t>0 septembre</w:t>
      </w:r>
      <w:r w:rsidR="00981D5D" w:rsidRPr="00981D5D">
        <w:rPr>
          <w:rFonts w:cs="Open Sans"/>
          <w:highlight w:val="yellow"/>
          <w:lang w:val="fr-FR"/>
        </w:rPr>
        <w:t xml:space="preserve"> </w:t>
      </w:r>
      <w:r w:rsidRPr="00981D5D">
        <w:rPr>
          <w:rFonts w:cs="Open Sans"/>
          <w:highlight w:val="yellow"/>
          <w:lang w:val="fr-FR"/>
        </w:rPr>
        <w:t>2021.</w:t>
      </w:r>
    </w:p>
    <w:p w14:paraId="6EF84220" w14:textId="54477B48" w:rsidR="00902F74" w:rsidRPr="00202448" w:rsidRDefault="00504E6C" w:rsidP="00504E6C">
      <w:pPr>
        <w:spacing w:before="120" w:after="120"/>
        <w:rPr>
          <w:rFonts w:cs="Open Sans"/>
          <w:lang w:val="fr-FR"/>
        </w:rPr>
      </w:pPr>
      <w:r w:rsidRPr="00202448">
        <w:rPr>
          <w:rFonts w:cs="Open Sans"/>
          <w:lang w:val="fr-FR"/>
        </w:rPr>
        <w:t>À cette date, chaque TPE ou PME en possession des exigences énoncées à l'ART. 3 du présent avis doit soumettre les documents suivants aux adresses électroniques/pec énumérées à l'ART.13 :</w:t>
      </w:r>
    </w:p>
    <w:p w14:paraId="038F8943" w14:textId="42645F6F" w:rsidR="00902F74" w:rsidRPr="00202448" w:rsidRDefault="00902F74" w:rsidP="009548BF">
      <w:pPr>
        <w:pStyle w:val="Paragrafoelenco"/>
        <w:numPr>
          <w:ilvl w:val="0"/>
          <w:numId w:val="31"/>
        </w:numPr>
        <w:spacing w:before="120" w:after="120"/>
        <w:rPr>
          <w:rFonts w:cs="Open Sans"/>
          <w:lang w:val="fr-FR"/>
        </w:rPr>
      </w:pPr>
      <w:r w:rsidRPr="00202448">
        <w:rPr>
          <w:rFonts w:cs="Open Sans"/>
          <w:lang w:val="fr-FR"/>
        </w:rPr>
        <w:t>Demande de candidature ;</w:t>
      </w:r>
    </w:p>
    <w:p w14:paraId="1FADF26D" w14:textId="6F7BFAF3" w:rsidR="00902F74" w:rsidRPr="00202448" w:rsidRDefault="00E90FB3" w:rsidP="009548BF">
      <w:pPr>
        <w:pStyle w:val="Paragrafoelenco"/>
        <w:numPr>
          <w:ilvl w:val="0"/>
          <w:numId w:val="31"/>
        </w:numPr>
        <w:spacing w:before="120" w:after="120"/>
        <w:rPr>
          <w:rFonts w:cs="Open Sans"/>
          <w:lang w:val="fr-FR"/>
        </w:rPr>
      </w:pPr>
      <w:r w:rsidRPr="00202448">
        <w:rPr>
          <w:lang w:val="fr-FR"/>
        </w:rPr>
        <w:t>Copie de la carte d'identité en cours de validité du représentant légal ;</w:t>
      </w:r>
    </w:p>
    <w:p w14:paraId="02573A9C" w14:textId="728E167D" w:rsidR="00E90FB3" w:rsidRPr="00202448" w:rsidRDefault="006F437D" w:rsidP="009548BF">
      <w:pPr>
        <w:pStyle w:val="Paragrafoelenco"/>
        <w:numPr>
          <w:ilvl w:val="0"/>
          <w:numId w:val="31"/>
        </w:numPr>
        <w:spacing w:before="120" w:after="120"/>
        <w:rPr>
          <w:rFonts w:cs="Open Sans"/>
          <w:lang w:val="fr-FR"/>
        </w:rPr>
      </w:pPr>
      <w:r w:rsidRPr="00202448">
        <w:rPr>
          <w:lang w:val="fr-FR"/>
        </w:rPr>
        <w:t xml:space="preserve">Extrait </w:t>
      </w:r>
      <w:proofErr w:type="spellStart"/>
      <w:r w:rsidRPr="00202448">
        <w:rPr>
          <w:lang w:val="fr-FR"/>
        </w:rPr>
        <w:t>Kbis</w:t>
      </w:r>
      <w:proofErr w:type="spellEnd"/>
      <w:r w:rsidRPr="00202448">
        <w:rPr>
          <w:lang w:val="fr-FR"/>
        </w:rPr>
        <w:t xml:space="preserve"> comme preuve de la date de constitution et, pour les TPE ou PME italiennes, de l'inscription éventuelle dans la section spéciale du Registre des entreprises consacrée aux start-ups innovantes ;</w:t>
      </w:r>
    </w:p>
    <w:p w14:paraId="5001A84E" w14:textId="2AA9149A" w:rsidR="006F437D" w:rsidRPr="00202448" w:rsidRDefault="006F437D" w:rsidP="009548BF">
      <w:pPr>
        <w:pStyle w:val="Paragrafoelenco"/>
        <w:numPr>
          <w:ilvl w:val="0"/>
          <w:numId w:val="31"/>
        </w:numPr>
        <w:spacing w:before="120" w:after="120"/>
        <w:rPr>
          <w:rFonts w:cs="Open Sans"/>
          <w:lang w:val="fr-FR"/>
        </w:rPr>
      </w:pPr>
      <w:r w:rsidRPr="00202448">
        <w:rPr>
          <w:rFonts w:cs="Open Sans"/>
          <w:lang w:val="fr-FR"/>
        </w:rPr>
        <w:t>Formulaire de participation dûment complété dans toutes ses parties (</w:t>
      </w:r>
      <w:r w:rsidR="00DA5FF5" w:rsidRPr="00202448">
        <w:rPr>
          <w:rFonts w:cs="Open Sans"/>
          <w:lang w:val="fr-FR"/>
        </w:rPr>
        <w:t>b</w:t>
      </w:r>
      <w:r w:rsidRPr="00202448">
        <w:rPr>
          <w:rFonts w:cs="Open Sans"/>
          <w:lang w:val="fr-FR"/>
        </w:rPr>
        <w:t>rève présentation de l'entreprise ; idée d'un plan de développement circulaire/évolution vers la circularité au sein des filières prioritaires ; auto-évaluation des besoins en termes de compétences et de connaissances techniques, organisationnelles ou entrepreneuriales liées à l'économie circulaire et orientables vers d'éventuels services de tutorat et d'accompagnement).</w:t>
      </w:r>
    </w:p>
    <w:p w14:paraId="4FE5B034" w14:textId="792A03F1" w:rsidR="006F437D" w:rsidRPr="00202448" w:rsidRDefault="006F437D" w:rsidP="009548BF">
      <w:pPr>
        <w:spacing w:before="120" w:after="120"/>
        <w:rPr>
          <w:rFonts w:cs="Open Sans"/>
          <w:lang w:val="fr-FR"/>
        </w:rPr>
      </w:pPr>
      <w:r w:rsidRPr="00202448">
        <w:rPr>
          <w:rFonts w:cs="Open Sans"/>
          <w:lang w:val="fr-FR"/>
        </w:rPr>
        <w:t xml:space="preserve">Chaque entreprise ne peut soumettre plus d’une </w:t>
      </w:r>
      <w:r w:rsidR="009548BF" w:rsidRPr="00202448">
        <w:rPr>
          <w:rFonts w:cs="Open Sans"/>
          <w:lang w:val="fr-FR"/>
        </w:rPr>
        <w:t>d</w:t>
      </w:r>
      <w:r w:rsidRPr="00202448">
        <w:rPr>
          <w:rFonts w:cs="Open Sans"/>
          <w:lang w:val="fr-FR"/>
        </w:rPr>
        <w:t xml:space="preserve">emande de participation au </w:t>
      </w:r>
      <w:r w:rsidR="00DA5FF5" w:rsidRPr="00202448">
        <w:rPr>
          <w:rFonts w:cs="Open Sans"/>
          <w:lang w:val="fr-FR"/>
        </w:rPr>
        <w:t>« </w:t>
      </w:r>
      <w:r w:rsidRPr="00202448">
        <w:rPr>
          <w:rFonts w:cs="Open Sans"/>
          <w:lang w:val="fr-FR"/>
        </w:rPr>
        <w:t>Concours Jeunes Entreprises de l’</w:t>
      </w:r>
      <w:r w:rsidRPr="00202448">
        <w:rPr>
          <w:rFonts w:ascii="Calibri" w:hAnsi="Calibri" w:cs="Calibri"/>
          <w:lang w:val="fr-FR"/>
        </w:rPr>
        <w:t>É</w:t>
      </w:r>
      <w:r w:rsidRPr="00202448">
        <w:rPr>
          <w:rFonts w:cs="Open Sans"/>
          <w:lang w:val="fr-FR"/>
        </w:rPr>
        <w:t>conomie Circulaire</w:t>
      </w:r>
      <w:r w:rsidR="00DA5FF5" w:rsidRPr="00202448">
        <w:rPr>
          <w:rFonts w:cs="Open Sans"/>
          <w:lang w:val="fr-FR"/>
        </w:rPr>
        <w:t> »</w:t>
      </w:r>
      <w:r w:rsidRPr="00202448">
        <w:rPr>
          <w:rFonts w:cs="Open Sans"/>
          <w:lang w:val="fr-FR"/>
        </w:rPr>
        <w:t>.</w:t>
      </w:r>
    </w:p>
    <w:p w14:paraId="1E450B11" w14:textId="276FD469" w:rsidR="006F437D" w:rsidRPr="00202448" w:rsidRDefault="006F437D" w:rsidP="009548BF">
      <w:pPr>
        <w:spacing w:before="120" w:after="120"/>
        <w:rPr>
          <w:rFonts w:cs="Open Sans"/>
          <w:lang w:val="fr-FR"/>
        </w:rPr>
      </w:pPr>
      <w:r w:rsidRPr="00202448">
        <w:rPr>
          <w:rFonts w:cs="Open Sans"/>
          <w:lang w:val="fr-FR"/>
        </w:rPr>
        <w:t>Tous les documents doivent être signés (numériquement pour les entreprises italiennes sous peine d'exclusion) et joints, en format électronique, en utilisant uniquement les formulaires disponibles sur la plateforme.</w:t>
      </w:r>
    </w:p>
    <w:p w14:paraId="0834992A" w14:textId="0BAD4C88" w:rsidR="006F437D" w:rsidRPr="00202448" w:rsidRDefault="006F437D" w:rsidP="009548BF">
      <w:pPr>
        <w:spacing w:before="120" w:after="120"/>
        <w:rPr>
          <w:rFonts w:cs="Open Sans"/>
          <w:lang w:val="fr-FR"/>
        </w:rPr>
      </w:pPr>
      <w:r w:rsidRPr="00202448">
        <w:rPr>
          <w:rFonts w:cs="Open Sans"/>
          <w:lang w:val="fr-FR"/>
        </w:rPr>
        <w:t>Si une demande s'avère incomplète de manière non substantielle (par exemple, la demande et le formulaire sont correctement remplis et il manque une pièce jointe, ou tous les documents ont été envoyés, mais certaines informations non significatives n'ont pas été entièrement rapportées), le partenaire territorial compétent demandera (</w:t>
      </w:r>
      <w:bookmarkStart w:id="0" w:name="_Hlk69207097"/>
      <w:r w:rsidRPr="00202448">
        <w:rPr>
          <w:rFonts w:cs="Open Sans"/>
          <w:lang w:val="fr-FR"/>
        </w:rPr>
        <w:t xml:space="preserve">par e-mail ou </w:t>
      </w:r>
      <w:r w:rsidRPr="00202448">
        <w:rPr>
          <w:lang w:val="fr-FR"/>
        </w:rPr>
        <w:t>courriel certifié</w:t>
      </w:r>
      <w:bookmarkEnd w:id="0"/>
      <w:r w:rsidRPr="00202448">
        <w:rPr>
          <w:rFonts w:cs="Open Sans"/>
          <w:lang w:val="fr-FR"/>
        </w:rPr>
        <w:t>) à l'entreprise d'intégrer les informations et/ou les documents manquants dans les 5 jours ouvrables suivant cette demande.</w:t>
      </w:r>
    </w:p>
    <w:p w14:paraId="594E429D" w14:textId="5CD5C7D0" w:rsidR="00876856" w:rsidRPr="00202448" w:rsidRDefault="00876856" w:rsidP="009548BF">
      <w:pPr>
        <w:spacing w:before="120" w:after="120"/>
        <w:rPr>
          <w:rFonts w:cs="Open Sans"/>
          <w:lang w:val="fr-FR"/>
        </w:rPr>
      </w:pPr>
      <w:r w:rsidRPr="00202448">
        <w:rPr>
          <w:rFonts w:cs="Open Sans"/>
          <w:lang w:val="fr-FR"/>
        </w:rPr>
        <w:t>Les candidatures ne seront pas prises en considération, et seront donc exclues de la procédure d'admission, si elles :</w:t>
      </w:r>
    </w:p>
    <w:p w14:paraId="2A5E6943" w14:textId="33997138" w:rsidR="00876856" w:rsidRPr="00202448" w:rsidRDefault="00876856" w:rsidP="009548BF">
      <w:pPr>
        <w:pStyle w:val="Paragrafoelenco"/>
        <w:numPr>
          <w:ilvl w:val="0"/>
          <w:numId w:val="32"/>
        </w:numPr>
        <w:spacing w:before="120" w:after="120"/>
        <w:rPr>
          <w:rFonts w:cs="Open Sans"/>
          <w:lang w:val="fr-FR"/>
        </w:rPr>
      </w:pPr>
      <w:proofErr w:type="gramStart"/>
      <w:r w:rsidRPr="00202448">
        <w:rPr>
          <w:rFonts w:cs="Open Sans"/>
          <w:lang w:val="fr-FR"/>
        </w:rPr>
        <w:t>ne</w:t>
      </w:r>
      <w:proofErr w:type="gramEnd"/>
      <w:r w:rsidRPr="00202448">
        <w:rPr>
          <w:rFonts w:cs="Open Sans"/>
          <w:lang w:val="fr-FR"/>
        </w:rPr>
        <w:t xml:space="preserve"> sont pas conformes aux dispositions du présent appel à candidatures ;</w:t>
      </w:r>
    </w:p>
    <w:p w14:paraId="125DB7DA" w14:textId="13658E38" w:rsidR="00876856" w:rsidRPr="00202448" w:rsidRDefault="00876856" w:rsidP="009548BF">
      <w:pPr>
        <w:pStyle w:val="Paragrafoelenco"/>
        <w:numPr>
          <w:ilvl w:val="0"/>
          <w:numId w:val="32"/>
        </w:numPr>
        <w:spacing w:before="120" w:after="120"/>
        <w:rPr>
          <w:rFonts w:cs="Open Sans"/>
          <w:lang w:val="fr-FR"/>
        </w:rPr>
      </w:pPr>
      <w:proofErr w:type="gramStart"/>
      <w:r w:rsidRPr="00202448">
        <w:rPr>
          <w:rFonts w:cs="Open Sans"/>
          <w:lang w:val="fr-FR"/>
        </w:rPr>
        <w:t>sont</w:t>
      </w:r>
      <w:proofErr w:type="gramEnd"/>
      <w:r w:rsidRPr="00202448">
        <w:rPr>
          <w:rFonts w:cs="Open Sans"/>
          <w:lang w:val="fr-FR"/>
        </w:rPr>
        <w:t xml:space="preserve"> substantiellement ou totalement dépourvus de la documentation requise.</w:t>
      </w:r>
    </w:p>
    <w:p w14:paraId="3A0DC3D9" w14:textId="28B4FB18" w:rsidR="00876856" w:rsidRPr="00202448" w:rsidRDefault="00876856" w:rsidP="00876856">
      <w:pPr>
        <w:spacing w:before="120" w:after="120"/>
        <w:rPr>
          <w:rFonts w:cs="Open Sans"/>
          <w:b/>
          <w:bCs/>
          <w:lang w:val="fr-FR"/>
        </w:rPr>
      </w:pPr>
      <w:r w:rsidRPr="00202448">
        <w:rPr>
          <w:rFonts w:cs="Open Sans"/>
          <w:b/>
          <w:bCs/>
          <w:lang w:val="fr-FR"/>
        </w:rPr>
        <w:t>ART. 8 Procédure d'évaluation</w:t>
      </w:r>
    </w:p>
    <w:p w14:paraId="7445FEE2" w14:textId="260B920B" w:rsidR="006F437D" w:rsidRPr="00202448" w:rsidRDefault="00876856" w:rsidP="00876856">
      <w:pPr>
        <w:spacing w:before="120" w:after="120"/>
        <w:rPr>
          <w:rFonts w:cs="Open Sans"/>
          <w:lang w:val="fr-FR"/>
        </w:rPr>
      </w:pPr>
      <w:r w:rsidRPr="00202448">
        <w:rPr>
          <w:rFonts w:cs="Open Sans"/>
          <w:lang w:val="fr-FR"/>
        </w:rPr>
        <w:t>La sélection des candidats se fait sur la base de deux niveaux d’évaluation : locale, effectuée par les Comités locaux définis à l’ART. 9 ; transfrontalière, effectuée par la Commission transfrontalière définie à l’ART. 9.</w:t>
      </w:r>
    </w:p>
    <w:p w14:paraId="24EE7CA6" w14:textId="4B645C78" w:rsidR="00876856" w:rsidRPr="00202448" w:rsidRDefault="00876856" w:rsidP="00876856">
      <w:pPr>
        <w:spacing w:before="120" w:after="120"/>
        <w:rPr>
          <w:rFonts w:cs="Open Sans"/>
          <w:u w:val="single"/>
          <w:lang w:val="fr-FR"/>
        </w:rPr>
      </w:pPr>
      <w:r w:rsidRPr="00202448">
        <w:rPr>
          <w:rFonts w:cs="Open Sans"/>
          <w:u w:val="single"/>
          <w:lang w:val="fr-FR"/>
        </w:rPr>
        <w:t>Phase 1 : évaluation locale</w:t>
      </w:r>
    </w:p>
    <w:p w14:paraId="509E28F7" w14:textId="2BC2EA5D" w:rsidR="00876856" w:rsidRPr="00202448" w:rsidRDefault="009E6EEB" w:rsidP="00876856">
      <w:pPr>
        <w:spacing w:before="120" w:after="120"/>
        <w:rPr>
          <w:rFonts w:cs="Open Sans"/>
          <w:lang w:val="fr-FR"/>
        </w:rPr>
      </w:pPr>
      <w:r w:rsidRPr="00202448">
        <w:rPr>
          <w:rFonts w:cs="Open Sans"/>
          <w:lang w:val="fr-FR"/>
        </w:rPr>
        <w:lastRenderedPageBreak/>
        <w:t xml:space="preserve"> </w:t>
      </w:r>
      <w:r w:rsidR="00876856" w:rsidRPr="00202448">
        <w:rPr>
          <w:rFonts w:cs="Open Sans"/>
          <w:lang w:val="fr-FR"/>
        </w:rPr>
        <w:t xml:space="preserve">Chaque partenaire procède à l'évaluation préliminaire des candidatures de son territoire, afin d'en apprécier l'éligibilité, par le biais du Comité </w:t>
      </w:r>
      <w:proofErr w:type="spellStart"/>
      <w:r w:rsidR="00876856" w:rsidRPr="00202448">
        <w:rPr>
          <w:rFonts w:cs="Open Sans"/>
          <w:lang w:val="fr-FR"/>
        </w:rPr>
        <w:t>loca</w:t>
      </w:r>
      <w:proofErr w:type="spellEnd"/>
      <w:r w:rsidR="00876856" w:rsidRPr="00202448">
        <w:rPr>
          <w:rFonts w:cs="Open Sans"/>
          <w:lang w:val="fr-FR"/>
        </w:rPr>
        <w:t>. L'évaluation des candidats et de leurs propositions s'effectue selon les critères suivants :</w:t>
      </w:r>
    </w:p>
    <w:tbl>
      <w:tblPr>
        <w:tblStyle w:val="Tabellaelenco3-colore11"/>
        <w:tblpPr w:leftFromText="141" w:rightFromText="141" w:vertAnchor="text" w:horzAnchor="margin" w:tblpY="217"/>
        <w:tblW w:w="0" w:type="auto"/>
        <w:tblLayout w:type="fixed"/>
        <w:tblLook w:val="04A0" w:firstRow="1" w:lastRow="0" w:firstColumn="1" w:lastColumn="0" w:noHBand="0" w:noVBand="1"/>
      </w:tblPr>
      <w:tblGrid>
        <w:gridCol w:w="2812"/>
        <w:gridCol w:w="5688"/>
        <w:gridCol w:w="1080"/>
      </w:tblGrid>
      <w:tr w:rsidR="009E6EEB" w:rsidRPr="00202448" w14:paraId="60487738" w14:textId="77777777" w:rsidTr="009E6EEB">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2812" w:type="dxa"/>
            <w:noWrap/>
          </w:tcPr>
          <w:p w14:paraId="0AC650DB" w14:textId="77777777" w:rsidR="009E6EEB" w:rsidRPr="00202448" w:rsidRDefault="009E6EEB" w:rsidP="009E6EEB">
            <w:pPr>
              <w:spacing w:before="120" w:after="120"/>
              <w:rPr>
                <w:rFonts w:cs="Open Sans"/>
                <w:sz w:val="20"/>
                <w:szCs w:val="20"/>
                <w:lang w:val="en-US"/>
              </w:rPr>
            </w:pPr>
          </w:p>
        </w:tc>
        <w:tc>
          <w:tcPr>
            <w:tcW w:w="5688" w:type="dxa"/>
            <w:noWrap/>
          </w:tcPr>
          <w:p w14:paraId="75189F39" w14:textId="7516DB86" w:rsidR="009E6EEB" w:rsidRPr="00202448" w:rsidRDefault="00522CE3" w:rsidP="00522CE3">
            <w:pPr>
              <w:tabs>
                <w:tab w:val="left" w:pos="1580"/>
              </w:tabs>
              <w:spacing w:before="120" w:after="120"/>
              <w:cnfStyle w:val="100000000000" w:firstRow="1"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lang w:val="en-US"/>
              </w:rPr>
              <w:tab/>
            </w:r>
            <w:r w:rsidRPr="00202448">
              <w:rPr>
                <w:rFonts w:cs="Open Sans"/>
                <w:sz w:val="20"/>
                <w:szCs w:val="20"/>
              </w:rPr>
              <w:t>PHASE 1</w:t>
            </w:r>
          </w:p>
        </w:tc>
        <w:tc>
          <w:tcPr>
            <w:tcW w:w="1080" w:type="dxa"/>
            <w:noWrap/>
          </w:tcPr>
          <w:p w14:paraId="4CA13A5A" w14:textId="77777777" w:rsidR="009E6EEB" w:rsidRPr="00202448" w:rsidRDefault="009E6EEB" w:rsidP="009E6EEB">
            <w:pPr>
              <w:spacing w:before="120" w:after="120"/>
              <w:cnfStyle w:val="100000000000" w:firstRow="1" w:lastRow="0" w:firstColumn="0" w:lastColumn="0" w:oddVBand="0" w:evenVBand="0" w:oddHBand="0" w:evenHBand="0" w:firstRowFirstColumn="0" w:firstRowLastColumn="0" w:lastRowFirstColumn="0" w:lastRowLastColumn="0"/>
              <w:rPr>
                <w:rFonts w:cs="Open Sans"/>
                <w:sz w:val="20"/>
                <w:szCs w:val="20"/>
              </w:rPr>
            </w:pPr>
          </w:p>
        </w:tc>
      </w:tr>
      <w:tr w:rsidR="009E6EEB" w:rsidRPr="00202448" w14:paraId="1E45A9DF" w14:textId="77777777" w:rsidTr="009E6EEB">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2812" w:type="dxa"/>
            <w:noWrap/>
            <w:hideMark/>
          </w:tcPr>
          <w:p w14:paraId="57128818" w14:textId="77777777" w:rsidR="009E6EEB" w:rsidRPr="00202448" w:rsidRDefault="009E6EEB" w:rsidP="009E6EEB">
            <w:pPr>
              <w:spacing w:before="120" w:after="120"/>
              <w:jc w:val="left"/>
              <w:rPr>
                <w:rFonts w:cs="Open Sans"/>
                <w:sz w:val="20"/>
                <w:szCs w:val="20"/>
              </w:rPr>
            </w:pPr>
            <w:r w:rsidRPr="00202448">
              <w:rPr>
                <w:rFonts w:cs="Open Sans"/>
                <w:sz w:val="20"/>
                <w:szCs w:val="20"/>
              </w:rPr>
              <w:t>DOMAINE</w:t>
            </w:r>
          </w:p>
        </w:tc>
        <w:tc>
          <w:tcPr>
            <w:tcW w:w="5688" w:type="dxa"/>
            <w:noWrap/>
            <w:hideMark/>
          </w:tcPr>
          <w:p w14:paraId="7CFBD802" w14:textId="77777777" w:rsidR="009E6EEB" w:rsidRPr="00202448" w:rsidRDefault="009E6EEB" w:rsidP="009E6EEB">
            <w:pPr>
              <w:spacing w:before="120" w:after="120"/>
              <w:cnfStyle w:val="100000000000" w:firstRow="1"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lang w:val="en-US"/>
              </w:rPr>
              <w:t>CRITÈRE</w:t>
            </w:r>
          </w:p>
        </w:tc>
        <w:tc>
          <w:tcPr>
            <w:tcW w:w="1080" w:type="dxa"/>
            <w:noWrap/>
            <w:hideMark/>
          </w:tcPr>
          <w:p w14:paraId="649AB604" w14:textId="77777777" w:rsidR="009E6EEB" w:rsidRPr="00202448" w:rsidRDefault="009E6EEB" w:rsidP="009E6EEB">
            <w:pPr>
              <w:spacing w:before="120" w:after="120"/>
              <w:jc w:val="left"/>
              <w:cnfStyle w:val="100000000000" w:firstRow="1"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rPr>
              <w:t>POINTS</w:t>
            </w:r>
          </w:p>
        </w:tc>
      </w:tr>
      <w:tr w:rsidR="009E6EEB" w:rsidRPr="00202448" w14:paraId="298BEAD5" w14:textId="77777777" w:rsidTr="009E6E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2" w:type="dxa"/>
            <w:vMerge w:val="restart"/>
            <w:noWrap/>
            <w:hideMark/>
          </w:tcPr>
          <w:p w14:paraId="7192917F" w14:textId="77777777" w:rsidR="009E6EEB" w:rsidRPr="00202448" w:rsidRDefault="009E6EEB" w:rsidP="009E6EEB">
            <w:pPr>
              <w:spacing w:before="120" w:after="120"/>
              <w:jc w:val="left"/>
              <w:rPr>
                <w:rFonts w:cs="Open Sans"/>
                <w:sz w:val="20"/>
                <w:szCs w:val="20"/>
              </w:rPr>
            </w:pPr>
            <w:r w:rsidRPr="00202448">
              <w:rPr>
                <w:rFonts w:cs="Open Sans"/>
                <w:sz w:val="20"/>
                <w:szCs w:val="20"/>
              </w:rPr>
              <w:t>QUALITÉ DU PROJECT</w:t>
            </w:r>
          </w:p>
        </w:tc>
        <w:tc>
          <w:tcPr>
            <w:tcW w:w="5688" w:type="dxa"/>
            <w:noWrap/>
            <w:hideMark/>
          </w:tcPr>
          <w:p w14:paraId="1EE4ABE7"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lang w:val="fr-FR"/>
              </w:rPr>
            </w:pPr>
            <w:r w:rsidRPr="00202448">
              <w:rPr>
                <w:rFonts w:cs="Open Sans"/>
                <w:sz w:val="20"/>
                <w:szCs w:val="20"/>
                <w:lang w:val="fr-FR"/>
              </w:rPr>
              <w:t>Cohérence avec les objectifs transfrontaliers et avec le Plan conjoint</w:t>
            </w:r>
          </w:p>
        </w:tc>
        <w:tc>
          <w:tcPr>
            <w:tcW w:w="1080" w:type="dxa"/>
            <w:noWrap/>
            <w:hideMark/>
          </w:tcPr>
          <w:p w14:paraId="45A36CA6"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41E7DCEE" w14:textId="77777777" w:rsidTr="009E6EEB">
        <w:trPr>
          <w:trHeight w:val="320"/>
        </w:trPr>
        <w:tc>
          <w:tcPr>
            <w:cnfStyle w:val="001000000000" w:firstRow="0" w:lastRow="0" w:firstColumn="1" w:lastColumn="0" w:oddVBand="0" w:evenVBand="0" w:oddHBand="0" w:evenHBand="0" w:firstRowFirstColumn="0" w:firstRowLastColumn="0" w:lastRowFirstColumn="0" w:lastRowLastColumn="0"/>
            <w:tcW w:w="2812" w:type="dxa"/>
            <w:vMerge/>
            <w:hideMark/>
          </w:tcPr>
          <w:p w14:paraId="77BCAEA3" w14:textId="77777777" w:rsidR="009E6EEB" w:rsidRPr="00202448" w:rsidRDefault="009E6EEB" w:rsidP="009E6EEB">
            <w:pPr>
              <w:spacing w:before="120" w:after="120"/>
              <w:jc w:val="left"/>
              <w:rPr>
                <w:rFonts w:cs="Open Sans"/>
                <w:sz w:val="20"/>
                <w:szCs w:val="20"/>
              </w:rPr>
            </w:pPr>
          </w:p>
        </w:tc>
        <w:tc>
          <w:tcPr>
            <w:tcW w:w="5688" w:type="dxa"/>
            <w:noWrap/>
            <w:hideMark/>
          </w:tcPr>
          <w:p w14:paraId="1C84AB70"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lang w:val="fr-FR"/>
              </w:rPr>
            </w:pPr>
            <w:r w:rsidRPr="00202448">
              <w:rPr>
                <w:rFonts w:cs="Open Sans"/>
                <w:sz w:val="20"/>
                <w:szCs w:val="20"/>
                <w:lang w:val="fr-FR"/>
              </w:rPr>
              <w:t>Exhaustivité de l’idée candidate</w:t>
            </w:r>
          </w:p>
        </w:tc>
        <w:tc>
          <w:tcPr>
            <w:tcW w:w="1080" w:type="dxa"/>
            <w:noWrap/>
            <w:hideMark/>
          </w:tcPr>
          <w:p w14:paraId="28B1A3DB"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669DC408" w14:textId="77777777" w:rsidTr="009E6E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2" w:type="dxa"/>
            <w:vMerge w:val="restart"/>
            <w:noWrap/>
            <w:hideMark/>
          </w:tcPr>
          <w:p w14:paraId="77135E2A" w14:textId="77777777" w:rsidR="009E6EEB" w:rsidRPr="00202448" w:rsidRDefault="009E6EEB" w:rsidP="009E6EEB">
            <w:pPr>
              <w:spacing w:before="120" w:after="120"/>
              <w:jc w:val="left"/>
              <w:rPr>
                <w:rFonts w:cs="Open Sans"/>
                <w:sz w:val="20"/>
                <w:szCs w:val="20"/>
              </w:rPr>
            </w:pPr>
            <w:r w:rsidRPr="00202448">
              <w:rPr>
                <w:rFonts w:cs="Open Sans"/>
                <w:sz w:val="20"/>
                <w:szCs w:val="20"/>
              </w:rPr>
              <w:t>ADÉQUATION DU PROPOSANT</w:t>
            </w:r>
          </w:p>
        </w:tc>
        <w:tc>
          <w:tcPr>
            <w:tcW w:w="5688" w:type="dxa"/>
            <w:noWrap/>
            <w:hideMark/>
          </w:tcPr>
          <w:p w14:paraId="3D106AF1"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lang w:val="fr-FR"/>
              </w:rPr>
            </w:pPr>
            <w:r w:rsidRPr="00202448">
              <w:rPr>
                <w:rFonts w:cs="Open Sans"/>
                <w:sz w:val="20"/>
                <w:szCs w:val="20"/>
                <w:lang w:val="fr-FR"/>
              </w:rPr>
              <w:t>Activités et taille atteinte, adéquation et cohérence de l’organisation interne</w:t>
            </w:r>
          </w:p>
        </w:tc>
        <w:tc>
          <w:tcPr>
            <w:tcW w:w="1080" w:type="dxa"/>
            <w:noWrap/>
            <w:hideMark/>
          </w:tcPr>
          <w:p w14:paraId="39E378CB"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24DEAF55" w14:textId="77777777" w:rsidTr="009E6EEB">
        <w:trPr>
          <w:trHeight w:val="320"/>
        </w:trPr>
        <w:tc>
          <w:tcPr>
            <w:cnfStyle w:val="001000000000" w:firstRow="0" w:lastRow="0" w:firstColumn="1" w:lastColumn="0" w:oddVBand="0" w:evenVBand="0" w:oddHBand="0" w:evenHBand="0" w:firstRowFirstColumn="0" w:firstRowLastColumn="0" w:lastRowFirstColumn="0" w:lastRowLastColumn="0"/>
            <w:tcW w:w="2812" w:type="dxa"/>
            <w:vMerge/>
            <w:hideMark/>
          </w:tcPr>
          <w:p w14:paraId="4D766143" w14:textId="77777777" w:rsidR="009E6EEB" w:rsidRPr="00202448" w:rsidRDefault="009E6EEB" w:rsidP="009E6EEB">
            <w:pPr>
              <w:spacing w:before="120" w:after="120"/>
              <w:jc w:val="left"/>
              <w:rPr>
                <w:rFonts w:cs="Open Sans"/>
                <w:sz w:val="20"/>
                <w:szCs w:val="20"/>
              </w:rPr>
            </w:pPr>
          </w:p>
        </w:tc>
        <w:tc>
          <w:tcPr>
            <w:tcW w:w="5688" w:type="dxa"/>
            <w:noWrap/>
            <w:hideMark/>
          </w:tcPr>
          <w:p w14:paraId="517E38EE"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lang w:val="fr-FR"/>
              </w:rPr>
            </w:pPr>
            <w:r w:rsidRPr="00202448">
              <w:rPr>
                <w:rFonts w:cs="Open Sans"/>
                <w:sz w:val="20"/>
                <w:szCs w:val="20"/>
                <w:lang w:val="fr-FR"/>
              </w:rPr>
              <w:t>Capacité à présenter son idée</w:t>
            </w:r>
          </w:p>
        </w:tc>
        <w:tc>
          <w:tcPr>
            <w:tcW w:w="1080" w:type="dxa"/>
            <w:noWrap/>
            <w:hideMark/>
          </w:tcPr>
          <w:p w14:paraId="725AEA62"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704A371B" w14:textId="77777777" w:rsidTr="009E6E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2" w:type="dxa"/>
            <w:vMerge w:val="restart"/>
            <w:noWrap/>
            <w:hideMark/>
          </w:tcPr>
          <w:p w14:paraId="0DF921EE" w14:textId="77777777" w:rsidR="009E6EEB" w:rsidRPr="00202448" w:rsidRDefault="009E6EEB" w:rsidP="009E6EEB">
            <w:pPr>
              <w:spacing w:before="120" w:after="120"/>
              <w:jc w:val="left"/>
              <w:rPr>
                <w:rFonts w:cs="Open Sans"/>
                <w:sz w:val="20"/>
                <w:szCs w:val="20"/>
              </w:rPr>
            </w:pPr>
            <w:r w:rsidRPr="00202448">
              <w:rPr>
                <w:rFonts w:cs="Open Sans"/>
                <w:sz w:val="20"/>
                <w:szCs w:val="20"/>
              </w:rPr>
              <w:t>POTENTIEL DE L’IDÉE</w:t>
            </w:r>
          </w:p>
        </w:tc>
        <w:tc>
          <w:tcPr>
            <w:tcW w:w="5688" w:type="dxa"/>
            <w:noWrap/>
            <w:hideMark/>
          </w:tcPr>
          <w:p w14:paraId="299756F8"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lang w:val="fr-FR"/>
              </w:rPr>
            </w:pPr>
            <w:r w:rsidRPr="00202448">
              <w:rPr>
                <w:rFonts w:cs="Open Sans"/>
                <w:sz w:val="20"/>
                <w:szCs w:val="20"/>
                <w:lang w:val="fr-FR"/>
              </w:rPr>
              <w:t>Niveau de circularité</w:t>
            </w:r>
          </w:p>
        </w:tc>
        <w:tc>
          <w:tcPr>
            <w:tcW w:w="1080" w:type="dxa"/>
            <w:noWrap/>
            <w:hideMark/>
          </w:tcPr>
          <w:p w14:paraId="2DF021B7"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27288B8A" w14:textId="77777777" w:rsidTr="009E6EEB">
        <w:trPr>
          <w:trHeight w:val="320"/>
        </w:trPr>
        <w:tc>
          <w:tcPr>
            <w:cnfStyle w:val="001000000000" w:firstRow="0" w:lastRow="0" w:firstColumn="1" w:lastColumn="0" w:oddVBand="0" w:evenVBand="0" w:oddHBand="0" w:evenHBand="0" w:firstRowFirstColumn="0" w:firstRowLastColumn="0" w:lastRowFirstColumn="0" w:lastRowLastColumn="0"/>
            <w:tcW w:w="2812" w:type="dxa"/>
            <w:vMerge/>
            <w:hideMark/>
          </w:tcPr>
          <w:p w14:paraId="6A30E78A" w14:textId="77777777" w:rsidR="009E6EEB" w:rsidRPr="00202448" w:rsidRDefault="009E6EEB" w:rsidP="009E6EEB">
            <w:pPr>
              <w:spacing w:before="120" w:after="120"/>
              <w:jc w:val="left"/>
              <w:rPr>
                <w:rFonts w:cs="Open Sans"/>
                <w:sz w:val="20"/>
                <w:szCs w:val="20"/>
              </w:rPr>
            </w:pPr>
          </w:p>
        </w:tc>
        <w:tc>
          <w:tcPr>
            <w:tcW w:w="5688" w:type="dxa"/>
            <w:noWrap/>
            <w:hideMark/>
          </w:tcPr>
          <w:p w14:paraId="712F8627"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lang w:val="fr-FR"/>
              </w:rPr>
            </w:pPr>
            <w:r w:rsidRPr="00202448">
              <w:rPr>
                <w:rFonts w:cs="Open Sans"/>
                <w:sz w:val="20"/>
                <w:szCs w:val="20"/>
                <w:lang w:val="fr-FR"/>
              </w:rPr>
              <w:t>Importance et attractivité du marché</w:t>
            </w:r>
          </w:p>
        </w:tc>
        <w:tc>
          <w:tcPr>
            <w:tcW w:w="1080" w:type="dxa"/>
            <w:noWrap/>
            <w:hideMark/>
          </w:tcPr>
          <w:p w14:paraId="473A6B05" w14:textId="77777777" w:rsidR="009E6EEB" w:rsidRPr="00202448" w:rsidRDefault="009E6EEB" w:rsidP="009E6EEB">
            <w:pPr>
              <w:spacing w:before="120" w:after="120"/>
              <w:jc w:val="left"/>
              <w:cnfStyle w:val="000000000000" w:firstRow="0" w:lastRow="0" w:firstColumn="0" w:lastColumn="0" w:oddVBand="0" w:evenVBand="0" w:oddHBand="0" w:evenHBand="0" w:firstRowFirstColumn="0" w:firstRowLastColumn="0" w:lastRowFirstColumn="0" w:lastRowLastColumn="0"/>
              <w:rPr>
                <w:rFonts w:cs="Open Sans"/>
                <w:sz w:val="20"/>
                <w:szCs w:val="20"/>
              </w:rPr>
            </w:pPr>
            <w:r w:rsidRPr="00202448">
              <w:rPr>
                <w:rFonts w:cs="Open Sans"/>
                <w:sz w:val="20"/>
                <w:szCs w:val="20"/>
              </w:rPr>
              <w:t>Max 10</w:t>
            </w:r>
          </w:p>
        </w:tc>
      </w:tr>
      <w:tr w:rsidR="009E6EEB" w:rsidRPr="00202448" w14:paraId="49D1C9FA" w14:textId="77777777" w:rsidTr="009E6E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00" w:type="dxa"/>
            <w:gridSpan w:val="2"/>
            <w:noWrap/>
            <w:hideMark/>
          </w:tcPr>
          <w:p w14:paraId="597DF61D" w14:textId="77777777" w:rsidR="009E6EEB" w:rsidRPr="00202448" w:rsidRDefault="009E6EEB" w:rsidP="009E6EEB">
            <w:pPr>
              <w:spacing w:before="120" w:after="120"/>
              <w:jc w:val="left"/>
              <w:rPr>
                <w:rFonts w:cs="Open Sans"/>
                <w:sz w:val="20"/>
                <w:szCs w:val="20"/>
              </w:rPr>
            </w:pPr>
            <w:r w:rsidRPr="00202448">
              <w:rPr>
                <w:rFonts w:cs="Open Sans"/>
                <w:sz w:val="20"/>
                <w:szCs w:val="20"/>
              </w:rPr>
              <w:t>Total</w:t>
            </w:r>
            <w:r w:rsidRPr="00202448">
              <w:rPr>
                <w:rFonts w:cs="Open Sans"/>
                <w:sz w:val="20"/>
                <w:szCs w:val="20"/>
              </w:rPr>
              <w:tab/>
            </w:r>
          </w:p>
        </w:tc>
        <w:tc>
          <w:tcPr>
            <w:tcW w:w="1080" w:type="dxa"/>
            <w:noWrap/>
            <w:hideMark/>
          </w:tcPr>
          <w:p w14:paraId="50578D3A" w14:textId="77777777" w:rsidR="009E6EEB" w:rsidRPr="00202448" w:rsidRDefault="009E6EEB" w:rsidP="009E6EEB">
            <w:pPr>
              <w:spacing w:before="120" w:after="120"/>
              <w:jc w:val="left"/>
              <w:cnfStyle w:val="000000100000" w:firstRow="0" w:lastRow="0" w:firstColumn="0" w:lastColumn="0" w:oddVBand="0" w:evenVBand="0" w:oddHBand="1" w:evenHBand="0" w:firstRowFirstColumn="0" w:firstRowLastColumn="0" w:lastRowFirstColumn="0" w:lastRowLastColumn="0"/>
              <w:rPr>
                <w:rFonts w:cs="Open Sans"/>
                <w:b/>
                <w:bCs/>
                <w:sz w:val="20"/>
                <w:szCs w:val="20"/>
              </w:rPr>
            </w:pPr>
            <w:r w:rsidRPr="00202448">
              <w:rPr>
                <w:rFonts w:cs="Open Sans"/>
                <w:b/>
                <w:bCs/>
                <w:sz w:val="20"/>
                <w:szCs w:val="20"/>
              </w:rPr>
              <w:t>Max 60</w:t>
            </w:r>
          </w:p>
        </w:tc>
      </w:tr>
    </w:tbl>
    <w:p w14:paraId="13FAD405" w14:textId="02F0BE27" w:rsidR="00876856" w:rsidRPr="00202448" w:rsidRDefault="007B6D2E" w:rsidP="00876856">
      <w:pPr>
        <w:spacing w:before="120" w:after="120"/>
        <w:rPr>
          <w:rFonts w:cs="Open Sans"/>
          <w:u w:val="single"/>
          <w:lang w:val="fr-FR"/>
        </w:rPr>
      </w:pPr>
      <w:r w:rsidRPr="00202448">
        <w:rPr>
          <w:rFonts w:cs="Open Sans"/>
          <w:u w:val="single"/>
          <w:lang w:val="fr-FR"/>
        </w:rPr>
        <w:t>Phase 2 : évaluation transfrontalière</w:t>
      </w:r>
    </w:p>
    <w:p w14:paraId="68BB8906" w14:textId="188D1236" w:rsidR="007B6D2E" w:rsidRPr="00202448" w:rsidRDefault="00522CE3" w:rsidP="00522CE3">
      <w:pPr>
        <w:spacing w:before="120" w:after="120"/>
        <w:rPr>
          <w:rFonts w:cs="Open Sans"/>
          <w:lang w:val="fr-FR"/>
        </w:rPr>
      </w:pPr>
      <w:r w:rsidRPr="00202448">
        <w:rPr>
          <w:rFonts w:cs="Open Sans"/>
          <w:lang w:val="fr-FR"/>
        </w:rPr>
        <w:t xml:space="preserve">Le </w:t>
      </w:r>
      <w:r w:rsidR="009548BF" w:rsidRPr="00202448">
        <w:rPr>
          <w:rFonts w:cs="Open Sans"/>
          <w:lang w:val="fr-FR"/>
        </w:rPr>
        <w:t>c</w:t>
      </w:r>
      <w:r w:rsidRPr="00202448">
        <w:rPr>
          <w:rFonts w:cs="Open Sans"/>
          <w:lang w:val="fr-FR"/>
        </w:rPr>
        <w:t>hef de file convoque la Commission transfrontalière qui procède à la sélection finale des bénéficiaires, à partir du rapport d'évaluation réalisé par les Comités locaux. La Commission examine ensuite le caractère transfrontalier des demandes présentées, en vertu des connexions possibles proposées et/ou de la reproductibilité sur d'autres territoires, ainsi que l'impact global sur la zone de coopération.</w:t>
      </w:r>
    </w:p>
    <w:tbl>
      <w:tblPr>
        <w:tblStyle w:val="Tabellaelenco3-colore11"/>
        <w:tblW w:w="5000" w:type="pct"/>
        <w:tblCellMar>
          <w:left w:w="0" w:type="dxa"/>
          <w:right w:w="0" w:type="dxa"/>
        </w:tblCellMar>
        <w:tblLook w:val="04A0" w:firstRow="1" w:lastRow="0" w:firstColumn="1" w:lastColumn="0" w:noHBand="0" w:noVBand="1"/>
      </w:tblPr>
      <w:tblGrid>
        <w:gridCol w:w="7036"/>
        <w:gridCol w:w="2975"/>
      </w:tblGrid>
      <w:tr w:rsidR="00522CE3" w:rsidRPr="00202448" w14:paraId="7BADB014"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5000" w:type="pct"/>
            <w:gridSpan w:val="2"/>
          </w:tcPr>
          <w:p w14:paraId="2E408150" w14:textId="6DE6FD81" w:rsidR="00522CE3" w:rsidRPr="00202448" w:rsidRDefault="00522CE3" w:rsidP="00522CE3">
            <w:pPr>
              <w:spacing w:before="120" w:after="120"/>
              <w:jc w:val="center"/>
              <w:rPr>
                <w:rFonts w:eastAsia="Times New Roman" w:cs="Open Sans"/>
                <w:sz w:val="20"/>
                <w:szCs w:val="20"/>
                <w:lang w:val="fr-FR"/>
              </w:rPr>
            </w:pPr>
            <w:r w:rsidRPr="00202448">
              <w:rPr>
                <w:rFonts w:eastAsia="Times New Roman" w:cs="Open Sans"/>
                <w:sz w:val="20"/>
                <w:szCs w:val="20"/>
                <w:lang w:val="fr-FR"/>
              </w:rPr>
              <w:t xml:space="preserve">PHASE 2 </w:t>
            </w:r>
          </w:p>
        </w:tc>
      </w:tr>
      <w:tr w:rsidR="00522CE3" w:rsidRPr="00202448" w14:paraId="68521CA4"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3514" w:type="pct"/>
          </w:tcPr>
          <w:p w14:paraId="5148DD2F" w14:textId="48A187B5" w:rsidR="00522CE3" w:rsidRPr="00202448" w:rsidRDefault="00522CE3" w:rsidP="00522CE3">
            <w:pPr>
              <w:spacing w:before="120" w:after="120"/>
              <w:jc w:val="center"/>
              <w:rPr>
                <w:rFonts w:eastAsia="Times New Roman" w:cs="Open Sans"/>
                <w:sz w:val="20"/>
                <w:szCs w:val="20"/>
                <w:lang w:val="fr-FR"/>
              </w:rPr>
            </w:pPr>
            <w:r w:rsidRPr="00202448">
              <w:rPr>
                <w:rFonts w:eastAsia="Times New Roman" w:cs="Open Sans"/>
                <w:sz w:val="20"/>
                <w:szCs w:val="20"/>
                <w:lang w:val="fr-FR"/>
              </w:rPr>
              <w:t>CRITÈRE</w:t>
            </w:r>
          </w:p>
        </w:tc>
        <w:tc>
          <w:tcPr>
            <w:tcW w:w="1486" w:type="pct"/>
            <w:tcBorders>
              <w:left w:val="nil"/>
            </w:tcBorders>
          </w:tcPr>
          <w:p w14:paraId="735A3FE5" w14:textId="17D38600" w:rsidR="00522CE3" w:rsidRPr="00202448" w:rsidRDefault="00522CE3" w:rsidP="00522CE3">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POINTS</w:t>
            </w:r>
          </w:p>
        </w:tc>
      </w:tr>
      <w:tr w:rsidR="00522CE3" w:rsidRPr="00202448" w14:paraId="4B03AD14" w14:textId="77777777" w:rsidTr="00CD72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14" w:type="pct"/>
            <w:tcBorders>
              <w:top w:val="nil"/>
            </w:tcBorders>
          </w:tcPr>
          <w:p w14:paraId="3121A183" w14:textId="55E05719" w:rsidR="00522CE3" w:rsidRPr="00202448" w:rsidRDefault="00522CE3" w:rsidP="00522CE3">
            <w:pPr>
              <w:spacing w:before="120" w:after="120"/>
              <w:rPr>
                <w:rFonts w:eastAsia="Times New Roman" w:cs="Open Sans"/>
                <w:sz w:val="20"/>
                <w:szCs w:val="20"/>
                <w:lang w:val="fr-FR"/>
              </w:rPr>
            </w:pPr>
            <w:r w:rsidRPr="00202448">
              <w:rPr>
                <w:rFonts w:eastAsia="Times New Roman" w:cs="Open Sans"/>
                <w:sz w:val="20"/>
                <w:szCs w:val="20"/>
                <w:lang w:val="fr-FR"/>
              </w:rPr>
              <w:t>IM</w:t>
            </w:r>
            <w:r w:rsidR="00380ED4" w:rsidRPr="00202448">
              <w:rPr>
                <w:rFonts w:eastAsia="Times New Roman" w:cs="Open Sans"/>
                <w:sz w:val="20"/>
                <w:szCs w:val="20"/>
                <w:lang w:val="fr-FR"/>
              </w:rPr>
              <w:t>PACT</w:t>
            </w:r>
            <w:r w:rsidRPr="00202448">
              <w:rPr>
                <w:rFonts w:eastAsia="Times New Roman" w:cs="Open Sans"/>
                <w:sz w:val="20"/>
                <w:szCs w:val="20"/>
                <w:lang w:val="fr-FR"/>
              </w:rPr>
              <w:t xml:space="preserve"> TRANSFRONTALIER DE</w:t>
            </w:r>
            <w:r w:rsidR="00380ED4" w:rsidRPr="00202448">
              <w:rPr>
                <w:rFonts w:eastAsia="Times New Roman" w:cs="Open Sans"/>
                <w:sz w:val="20"/>
                <w:szCs w:val="20"/>
                <w:lang w:val="fr-FR"/>
              </w:rPr>
              <w:t xml:space="preserve"> </w:t>
            </w:r>
            <w:r w:rsidRPr="00202448">
              <w:rPr>
                <w:rFonts w:eastAsia="Times New Roman" w:cs="Open Sans"/>
                <w:sz w:val="20"/>
                <w:szCs w:val="20"/>
                <w:lang w:val="fr-FR"/>
              </w:rPr>
              <w:t>L'ID</w:t>
            </w:r>
            <w:r w:rsidR="00380ED4" w:rsidRPr="00202448">
              <w:rPr>
                <w:rFonts w:eastAsia="Times New Roman" w:cs="Open Sans"/>
                <w:sz w:val="20"/>
                <w:szCs w:val="20"/>
                <w:lang w:val="fr-FR"/>
              </w:rPr>
              <w:t>É</w:t>
            </w:r>
            <w:r w:rsidRPr="00202448">
              <w:rPr>
                <w:rFonts w:eastAsia="Times New Roman" w:cs="Open Sans"/>
                <w:sz w:val="20"/>
                <w:szCs w:val="20"/>
                <w:lang w:val="fr-FR"/>
              </w:rPr>
              <w:t>E</w:t>
            </w:r>
          </w:p>
        </w:tc>
        <w:tc>
          <w:tcPr>
            <w:tcW w:w="1486" w:type="pct"/>
            <w:tcBorders>
              <w:top w:val="nil"/>
              <w:left w:val="nil"/>
            </w:tcBorders>
          </w:tcPr>
          <w:p w14:paraId="723DE193" w14:textId="77777777" w:rsidR="00522CE3" w:rsidRPr="00202448" w:rsidRDefault="00522CE3" w:rsidP="00522CE3">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Open Sans"/>
                <w:b/>
                <w:sz w:val="20"/>
                <w:szCs w:val="20"/>
                <w:lang w:val="fr-FR"/>
              </w:rPr>
            </w:pPr>
            <w:r w:rsidRPr="00202448">
              <w:rPr>
                <w:rFonts w:eastAsia="Times New Roman" w:cs="Open Sans"/>
                <w:b/>
                <w:sz w:val="20"/>
                <w:szCs w:val="20"/>
                <w:lang w:val="fr-FR"/>
              </w:rPr>
              <w:t>Max 10</w:t>
            </w:r>
          </w:p>
        </w:tc>
      </w:tr>
    </w:tbl>
    <w:p w14:paraId="50068BD9" w14:textId="6BF11EC0" w:rsidR="00380ED4" w:rsidRPr="00202448" w:rsidRDefault="00380ED4" w:rsidP="00380ED4">
      <w:pPr>
        <w:spacing w:before="120" w:after="120"/>
        <w:rPr>
          <w:rFonts w:cs="Open Sans"/>
          <w:lang w:val="fr-FR"/>
        </w:rPr>
      </w:pPr>
      <w:r w:rsidRPr="00202448">
        <w:rPr>
          <w:rFonts w:cs="Open Sans"/>
          <w:lang w:val="fr-FR"/>
        </w:rPr>
        <w:t>Sur la base de cette évaluation et du score obtenu lors de la phase de sélection locale (phase 1) la Commission transfrontalière établit le classement final, divisée par territoire.</w:t>
      </w:r>
    </w:p>
    <w:p w14:paraId="3E032D8A" w14:textId="1270C04D" w:rsidR="00380ED4" w:rsidRPr="00202448" w:rsidRDefault="00380ED4" w:rsidP="00380ED4">
      <w:pPr>
        <w:spacing w:before="120" w:after="120"/>
        <w:rPr>
          <w:rFonts w:cs="Open Sans"/>
          <w:lang w:val="fr-FR"/>
        </w:rPr>
      </w:pPr>
      <w:r w:rsidRPr="00202448">
        <w:rPr>
          <w:rFonts w:cs="Open Sans"/>
          <w:lang w:val="fr-FR"/>
        </w:rPr>
        <w:t>À l’issue de ces deux sélections (Phase 1 et Phase 2), les candidats qui obtiennent une évaluation d’au moins 35 points peuvent participer aux sessions de tutorat. Les projets ne présentant pas de caractère transnational ne sont pas éligibles à la phase suivante.</w:t>
      </w:r>
    </w:p>
    <w:p w14:paraId="4502BD14" w14:textId="43CC5F4C" w:rsidR="00380ED4" w:rsidRPr="00202448" w:rsidRDefault="00380ED4" w:rsidP="00380ED4">
      <w:pPr>
        <w:spacing w:before="120" w:after="120"/>
        <w:rPr>
          <w:rFonts w:cs="Open Sans"/>
          <w:u w:val="single"/>
          <w:lang w:val="fr-FR"/>
        </w:rPr>
      </w:pPr>
      <w:r w:rsidRPr="00202448">
        <w:rPr>
          <w:rFonts w:cs="Open Sans"/>
          <w:u w:val="single"/>
          <w:lang w:val="fr-FR"/>
        </w:rPr>
        <w:t>Phase 3 : évaluation pour l’accès aux sessions individuelles</w:t>
      </w:r>
    </w:p>
    <w:p w14:paraId="1C359121" w14:textId="06BCFF53" w:rsidR="00380ED4" w:rsidRPr="00202448" w:rsidRDefault="00380ED4" w:rsidP="00380ED4">
      <w:pPr>
        <w:spacing w:before="120" w:after="120"/>
        <w:rPr>
          <w:rFonts w:cs="Open Sans"/>
          <w:lang w:val="fr-FR"/>
        </w:rPr>
      </w:pPr>
      <w:r w:rsidRPr="00202448">
        <w:rPr>
          <w:rFonts w:cs="Open Sans"/>
          <w:lang w:val="fr-FR"/>
        </w:rPr>
        <w:t xml:space="preserve">Les participants ayant assisté à au moins 70% des heures prévues dans les sessions de tutorat </w:t>
      </w:r>
      <w:r w:rsidRPr="00202448">
        <w:rPr>
          <w:rFonts w:cs="Open Sans"/>
          <w:lang w:val="fr-FR"/>
        </w:rPr>
        <w:lastRenderedPageBreak/>
        <w:t xml:space="preserve">auront accès à la phase de coaching. L’évaluation et la certification de la participation des entreprises bénéficiaires se </w:t>
      </w:r>
      <w:r w:rsidR="00D70DB1" w:rsidRPr="00202448">
        <w:rPr>
          <w:rFonts w:cs="Open Sans"/>
          <w:lang w:val="fr-FR"/>
        </w:rPr>
        <w:t>fait</w:t>
      </w:r>
      <w:r w:rsidRPr="00202448">
        <w:rPr>
          <w:rFonts w:cs="Open Sans"/>
          <w:lang w:val="fr-FR"/>
        </w:rPr>
        <w:t xml:space="preserve"> sur la base des rapports envoyés par les experts impliqués dans le tutorat aux partenaires de référence. À partir de ce rapport, chaque comité local proc</w:t>
      </w:r>
      <w:r w:rsidR="00D70DB1" w:rsidRPr="00202448">
        <w:rPr>
          <w:rFonts w:cs="Open Sans"/>
          <w:lang w:val="fr-FR"/>
        </w:rPr>
        <w:t>è</w:t>
      </w:r>
      <w:r w:rsidRPr="00202448">
        <w:rPr>
          <w:rFonts w:cs="Open Sans"/>
          <w:lang w:val="fr-FR"/>
        </w:rPr>
        <w:t>de à une nouvelle évaluation en tenant compte d</w:t>
      </w:r>
      <w:r w:rsidR="00603099" w:rsidRPr="00202448">
        <w:rPr>
          <w:rFonts w:cs="Open Sans"/>
          <w:lang w:val="fr-FR"/>
        </w:rPr>
        <w:t>u</w:t>
      </w:r>
      <w:r w:rsidRPr="00202448">
        <w:rPr>
          <w:rFonts w:cs="Open Sans"/>
          <w:lang w:val="fr-FR"/>
        </w:rPr>
        <w:t xml:space="preserve"> critère suivant :</w:t>
      </w:r>
    </w:p>
    <w:tbl>
      <w:tblPr>
        <w:tblStyle w:val="Tabellaelenco3-colore11"/>
        <w:tblW w:w="5000" w:type="pct"/>
        <w:tblCellMar>
          <w:left w:w="0" w:type="dxa"/>
          <w:right w:w="0" w:type="dxa"/>
        </w:tblCellMar>
        <w:tblLook w:val="04A0" w:firstRow="1" w:lastRow="0" w:firstColumn="1" w:lastColumn="0" w:noHBand="0" w:noVBand="1"/>
      </w:tblPr>
      <w:tblGrid>
        <w:gridCol w:w="7458"/>
        <w:gridCol w:w="2553"/>
      </w:tblGrid>
      <w:tr w:rsidR="00603099" w:rsidRPr="00202448" w14:paraId="517979C2"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5000" w:type="pct"/>
            <w:gridSpan w:val="2"/>
          </w:tcPr>
          <w:p w14:paraId="212632D9" w14:textId="5A67E50E" w:rsidR="00603099" w:rsidRPr="00202448" w:rsidRDefault="00603099" w:rsidP="00603099">
            <w:pPr>
              <w:spacing w:before="120" w:after="120"/>
              <w:jc w:val="center"/>
              <w:rPr>
                <w:rFonts w:eastAsia="Times New Roman" w:cs="Open Sans"/>
                <w:sz w:val="20"/>
                <w:szCs w:val="20"/>
              </w:rPr>
            </w:pPr>
            <w:r w:rsidRPr="00202448">
              <w:rPr>
                <w:rFonts w:eastAsia="Times New Roman" w:cs="Open Sans"/>
                <w:sz w:val="20"/>
                <w:szCs w:val="20"/>
              </w:rPr>
              <w:t>PHASE 3</w:t>
            </w:r>
          </w:p>
        </w:tc>
      </w:tr>
      <w:tr w:rsidR="00603099" w:rsidRPr="00202448" w14:paraId="05C4EE9D"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3725" w:type="pct"/>
          </w:tcPr>
          <w:p w14:paraId="3C40F9E5" w14:textId="2D696D11" w:rsidR="00603099" w:rsidRPr="00202448" w:rsidRDefault="00603099" w:rsidP="00603099">
            <w:pPr>
              <w:spacing w:before="120" w:after="120"/>
              <w:jc w:val="center"/>
              <w:rPr>
                <w:rFonts w:eastAsia="Times New Roman" w:cs="Open Sans"/>
                <w:sz w:val="20"/>
                <w:szCs w:val="20"/>
              </w:rPr>
            </w:pPr>
            <w:r w:rsidRPr="00202448">
              <w:rPr>
                <w:rFonts w:eastAsia="Times New Roman" w:cs="Open Sans"/>
                <w:sz w:val="20"/>
                <w:szCs w:val="20"/>
                <w:lang w:val="fr-FR"/>
              </w:rPr>
              <w:t>CRITÈRE</w:t>
            </w:r>
          </w:p>
        </w:tc>
        <w:tc>
          <w:tcPr>
            <w:tcW w:w="1275" w:type="pct"/>
            <w:tcBorders>
              <w:left w:val="nil"/>
            </w:tcBorders>
          </w:tcPr>
          <w:p w14:paraId="23BF87AE" w14:textId="0E12BD22" w:rsidR="00603099" w:rsidRPr="00202448" w:rsidRDefault="00603099" w:rsidP="00603099">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0"/>
                <w:szCs w:val="20"/>
              </w:rPr>
            </w:pPr>
            <w:r w:rsidRPr="00202448">
              <w:rPr>
                <w:rFonts w:eastAsia="Times New Roman" w:cs="Open Sans"/>
                <w:sz w:val="20"/>
                <w:szCs w:val="20"/>
              </w:rPr>
              <w:t>POINTS</w:t>
            </w:r>
          </w:p>
        </w:tc>
      </w:tr>
      <w:tr w:rsidR="00603099" w:rsidRPr="00202448" w14:paraId="43F7C261" w14:textId="77777777" w:rsidTr="00CD72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725" w:type="pct"/>
            <w:tcBorders>
              <w:top w:val="nil"/>
            </w:tcBorders>
          </w:tcPr>
          <w:p w14:paraId="6F02ACB0" w14:textId="0616FE8C" w:rsidR="00603099" w:rsidRPr="00202448" w:rsidRDefault="00603099" w:rsidP="00603099">
            <w:pPr>
              <w:spacing w:before="120" w:after="120"/>
              <w:rPr>
                <w:rFonts w:eastAsia="Times New Roman" w:cs="Open Sans"/>
                <w:sz w:val="20"/>
                <w:szCs w:val="20"/>
                <w:lang w:val="en-US"/>
              </w:rPr>
            </w:pPr>
            <w:r w:rsidRPr="00202448">
              <w:rPr>
                <w:rFonts w:eastAsia="Times New Roman" w:cs="Open Sans"/>
                <w:sz w:val="20"/>
                <w:szCs w:val="20"/>
                <w:lang w:val="fr-FR"/>
              </w:rPr>
              <w:t>AMÉLIORATION ET ÉVOLUTION DE L’IDÉE D’ENTREPRISE CIRCULAIRE</w:t>
            </w:r>
          </w:p>
        </w:tc>
        <w:tc>
          <w:tcPr>
            <w:tcW w:w="1275" w:type="pct"/>
            <w:tcBorders>
              <w:top w:val="nil"/>
              <w:left w:val="nil"/>
            </w:tcBorders>
          </w:tcPr>
          <w:p w14:paraId="54A7C9DB" w14:textId="77777777" w:rsidR="00603099" w:rsidRPr="00202448" w:rsidRDefault="00603099" w:rsidP="00603099">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Open Sans"/>
                <w:b/>
                <w:sz w:val="20"/>
                <w:szCs w:val="20"/>
              </w:rPr>
            </w:pPr>
            <w:r w:rsidRPr="00202448">
              <w:rPr>
                <w:rFonts w:eastAsia="Times New Roman" w:cs="Open Sans"/>
                <w:b/>
                <w:sz w:val="20"/>
                <w:szCs w:val="20"/>
              </w:rPr>
              <w:t>30</w:t>
            </w:r>
          </w:p>
        </w:tc>
      </w:tr>
    </w:tbl>
    <w:p w14:paraId="1C29A666" w14:textId="1097AC30" w:rsidR="00603099" w:rsidRPr="00202448" w:rsidRDefault="00603099" w:rsidP="00603099">
      <w:pPr>
        <w:spacing w:before="120" w:after="120"/>
        <w:rPr>
          <w:rFonts w:cs="Open Sans"/>
          <w:lang w:val="fr-FR"/>
        </w:rPr>
      </w:pPr>
      <w:r w:rsidRPr="00202448">
        <w:rPr>
          <w:rFonts w:cs="Open Sans"/>
          <w:lang w:val="fr-FR"/>
        </w:rPr>
        <w:t>Le Comité local établit une liste de classement sur la base des points obtenus lors de la Phase 3 additionnés à 50% des points de Phase 1 + Phase 2.</w:t>
      </w:r>
    </w:p>
    <w:p w14:paraId="2751DE8D" w14:textId="4D68F377" w:rsidR="00603099" w:rsidRPr="00202448" w:rsidRDefault="00603099" w:rsidP="00603099">
      <w:pPr>
        <w:spacing w:before="120" w:after="120"/>
        <w:rPr>
          <w:rFonts w:cs="Open Sans"/>
          <w:lang w:val="fr-FR"/>
        </w:rPr>
      </w:pPr>
      <w:r w:rsidRPr="00202448">
        <w:rPr>
          <w:rFonts w:cs="Open Sans"/>
          <w:b/>
          <w:bCs/>
          <w:lang w:val="fr-FR"/>
        </w:rPr>
        <w:t>Les candidats qui obtiennent un score d'au moins 40 points peuvent participer aux sessions de coaching et concourir pour les prix ECO-CIRCuS</w:t>
      </w:r>
      <w:r w:rsidRPr="00202448">
        <w:rPr>
          <w:rFonts w:cs="Open Sans"/>
          <w:lang w:val="fr-FR"/>
        </w:rPr>
        <w:t>.</w:t>
      </w:r>
    </w:p>
    <w:p w14:paraId="4E51085A" w14:textId="0092E533" w:rsidR="00603099" w:rsidRPr="00202448" w:rsidRDefault="00603099" w:rsidP="00603099">
      <w:pPr>
        <w:spacing w:before="120" w:after="120"/>
        <w:rPr>
          <w:rFonts w:cs="Open Sans"/>
          <w:u w:val="single"/>
          <w:lang w:val="fr-FR"/>
        </w:rPr>
      </w:pPr>
      <w:r w:rsidRPr="00202448">
        <w:rPr>
          <w:rFonts w:cs="Open Sans"/>
          <w:u w:val="single"/>
          <w:lang w:val="fr-FR"/>
        </w:rPr>
        <w:t>Phase 4 : évaluation pour l’attribution des prix</w:t>
      </w:r>
    </w:p>
    <w:p w14:paraId="1E6F8A21" w14:textId="1344ED92" w:rsidR="00603099" w:rsidRPr="00202448" w:rsidRDefault="00603099" w:rsidP="00603099">
      <w:pPr>
        <w:spacing w:before="120" w:after="120"/>
        <w:rPr>
          <w:rFonts w:cs="Open Sans"/>
          <w:lang w:val="fr-FR"/>
        </w:rPr>
      </w:pPr>
      <w:r w:rsidRPr="00202448">
        <w:rPr>
          <w:rFonts w:cs="Open Sans"/>
          <w:lang w:val="fr-FR"/>
        </w:rPr>
        <w:t>À la fin du processus de coaching, chaque entreprise bénéficiaire envoie au comité local un rapport contenant le plan d'affaires final et un document de synthèse sur le pitch de présentation.</w:t>
      </w:r>
    </w:p>
    <w:p w14:paraId="55B151D4" w14:textId="32DC3940" w:rsidR="00603099" w:rsidRPr="00202448" w:rsidRDefault="00603099" w:rsidP="00380ED4">
      <w:pPr>
        <w:spacing w:before="120" w:after="120"/>
        <w:rPr>
          <w:rFonts w:cs="Open Sans"/>
          <w:lang w:val="fr-FR"/>
        </w:rPr>
      </w:pPr>
      <w:r w:rsidRPr="00202448">
        <w:rPr>
          <w:rFonts w:cs="Open Sans"/>
          <w:lang w:val="fr-FR"/>
        </w:rPr>
        <w:t xml:space="preserve">A l'issue du </w:t>
      </w:r>
      <w:proofErr w:type="spellStart"/>
      <w:r w:rsidRPr="00202448">
        <w:rPr>
          <w:rFonts w:cs="Open Sans"/>
          <w:lang w:val="fr-FR"/>
        </w:rPr>
        <w:t>Pitching</w:t>
      </w:r>
      <w:proofErr w:type="spellEnd"/>
      <w:r w:rsidRPr="00202448">
        <w:rPr>
          <w:rFonts w:cs="Open Sans"/>
          <w:lang w:val="fr-FR"/>
        </w:rPr>
        <w:t xml:space="preserve"> Day, la Commission transfrontalière, après avoir recueilli les appréciations d'un jury (composé d'un expert pour chaque territoire) et vérifié les rapports finaux de la </w:t>
      </w:r>
      <w:proofErr w:type="spellStart"/>
      <w:r w:rsidR="00DA4D85" w:rsidRPr="00202448">
        <w:rPr>
          <w:rFonts w:cs="Open Sans"/>
          <w:lang w:val="fr-FR"/>
        </w:rPr>
        <w:t>Circular</w:t>
      </w:r>
      <w:proofErr w:type="spellEnd"/>
      <w:r w:rsidR="00DA4D85" w:rsidRPr="00202448">
        <w:rPr>
          <w:rFonts w:cs="Open Sans"/>
          <w:lang w:val="fr-FR"/>
        </w:rPr>
        <w:t xml:space="preserve"> Expert </w:t>
      </w:r>
      <w:proofErr w:type="spellStart"/>
      <w:r w:rsidRPr="00202448">
        <w:rPr>
          <w:rFonts w:cs="Open Sans"/>
          <w:lang w:val="fr-FR"/>
        </w:rPr>
        <w:t>Task</w:t>
      </w:r>
      <w:proofErr w:type="spellEnd"/>
      <w:r w:rsidRPr="00202448">
        <w:rPr>
          <w:rFonts w:cs="Open Sans"/>
          <w:lang w:val="fr-FR"/>
        </w:rPr>
        <w:t xml:space="preserve"> Force, procède à l'établissement de la liste finale pour l'attribution des prix.</w:t>
      </w:r>
    </w:p>
    <w:p w14:paraId="458D0845" w14:textId="4FB901DD" w:rsidR="00DA4D85" w:rsidRPr="00202448" w:rsidRDefault="00DA4D85" w:rsidP="00380ED4">
      <w:pPr>
        <w:spacing w:before="120" w:after="120"/>
        <w:rPr>
          <w:rFonts w:cs="Open Sans"/>
          <w:lang w:val="fr-FR"/>
        </w:rPr>
      </w:pPr>
      <w:r w:rsidRPr="00202448">
        <w:rPr>
          <w:rFonts w:cs="Open Sans"/>
          <w:lang w:val="fr-FR"/>
        </w:rPr>
        <w:t xml:space="preserve">L'évaluation des </w:t>
      </w:r>
      <w:proofErr w:type="spellStart"/>
      <w:r w:rsidRPr="00202448">
        <w:rPr>
          <w:rFonts w:cs="Open Sans"/>
          <w:lang w:val="fr-FR"/>
        </w:rPr>
        <w:t>pitchs</w:t>
      </w:r>
      <w:proofErr w:type="spellEnd"/>
      <w:r w:rsidRPr="00202448">
        <w:rPr>
          <w:rFonts w:cs="Open Sans"/>
          <w:lang w:val="fr-FR"/>
        </w:rPr>
        <w:t xml:space="preserve"> par le jury et les jugements globaux du CE-TF sont effectués selon les critères suivants :</w:t>
      </w:r>
    </w:p>
    <w:tbl>
      <w:tblPr>
        <w:tblStyle w:val="Tabellaelenco3-colore11"/>
        <w:tblW w:w="4997" w:type="pct"/>
        <w:tblLook w:val="04A0" w:firstRow="1" w:lastRow="0" w:firstColumn="1" w:lastColumn="0" w:noHBand="0" w:noVBand="1"/>
      </w:tblPr>
      <w:tblGrid>
        <w:gridCol w:w="3546"/>
        <w:gridCol w:w="5201"/>
        <w:gridCol w:w="1258"/>
      </w:tblGrid>
      <w:tr w:rsidR="00DA4D85" w:rsidRPr="00202448" w14:paraId="2F960D64"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9579" w:type="dxa"/>
            <w:gridSpan w:val="3"/>
          </w:tcPr>
          <w:p w14:paraId="01157780" w14:textId="2686D9E0" w:rsidR="00DA4D85" w:rsidRPr="00202448" w:rsidRDefault="00DA4D85" w:rsidP="00DA4D85">
            <w:pPr>
              <w:spacing w:before="120" w:after="120"/>
              <w:jc w:val="center"/>
              <w:rPr>
                <w:rFonts w:eastAsia="Times New Roman" w:cs="Open Sans"/>
                <w:sz w:val="20"/>
                <w:szCs w:val="20"/>
                <w:lang w:val="fr-FR"/>
              </w:rPr>
            </w:pPr>
            <w:r w:rsidRPr="00202448">
              <w:rPr>
                <w:rFonts w:eastAsia="Times New Roman" w:cs="Open Sans"/>
                <w:sz w:val="20"/>
                <w:szCs w:val="20"/>
                <w:lang w:val="fr-FR"/>
              </w:rPr>
              <w:t>PHASE 4</w:t>
            </w:r>
          </w:p>
        </w:tc>
      </w:tr>
      <w:tr w:rsidR="00DA4D85" w:rsidRPr="00202448" w14:paraId="28540E4E" w14:textId="77777777" w:rsidTr="00CD72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100" w:firstRow="0" w:lastRow="0" w:firstColumn="1" w:lastColumn="0" w:oddVBand="0" w:evenVBand="0" w:oddHBand="0" w:evenHBand="0" w:firstRowFirstColumn="1" w:firstRowLastColumn="0" w:lastRowFirstColumn="0" w:lastRowLastColumn="0"/>
            <w:tcW w:w="3395" w:type="dxa"/>
          </w:tcPr>
          <w:p w14:paraId="2A8C8F65" w14:textId="0ED27CC3" w:rsidR="00DA4D85" w:rsidRPr="00202448" w:rsidRDefault="00DA4D85" w:rsidP="00DA4D85">
            <w:pPr>
              <w:spacing w:before="120" w:after="120"/>
              <w:jc w:val="center"/>
              <w:rPr>
                <w:rFonts w:eastAsia="Times New Roman" w:cs="Open Sans"/>
                <w:sz w:val="20"/>
                <w:szCs w:val="20"/>
                <w:lang w:val="fr-FR"/>
              </w:rPr>
            </w:pPr>
            <w:r w:rsidRPr="00202448">
              <w:rPr>
                <w:rFonts w:eastAsia="Times New Roman" w:cs="Open Sans"/>
                <w:sz w:val="20"/>
                <w:szCs w:val="20"/>
                <w:lang w:val="fr-FR"/>
              </w:rPr>
              <w:t>DOMAINE</w:t>
            </w:r>
          </w:p>
        </w:tc>
        <w:tc>
          <w:tcPr>
            <w:tcW w:w="4980" w:type="dxa"/>
          </w:tcPr>
          <w:p w14:paraId="6D65E167" w14:textId="605A8F9F" w:rsidR="00DA4D85" w:rsidRPr="00202448" w:rsidRDefault="00DA4D85" w:rsidP="00DA4D85">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CRITÈRE</w:t>
            </w:r>
          </w:p>
        </w:tc>
        <w:tc>
          <w:tcPr>
            <w:tcW w:w="1204" w:type="dxa"/>
          </w:tcPr>
          <w:p w14:paraId="78852E74" w14:textId="232D5159" w:rsidR="00DA4D85" w:rsidRPr="00202448" w:rsidRDefault="00DA4D85" w:rsidP="00DA4D85">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POINTS</w:t>
            </w:r>
          </w:p>
        </w:tc>
      </w:tr>
      <w:tr w:rsidR="00DA4D85" w:rsidRPr="00202448" w14:paraId="1112970D" w14:textId="77777777" w:rsidTr="00CD72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5" w:type="dxa"/>
          </w:tcPr>
          <w:p w14:paraId="3BB58B0C" w14:textId="71472CC7" w:rsidR="00DA4D85" w:rsidRPr="00202448" w:rsidRDefault="00DA4D85" w:rsidP="00DA4D85">
            <w:pPr>
              <w:spacing w:before="120" w:after="120"/>
              <w:rPr>
                <w:rFonts w:eastAsia="Times New Roman" w:cs="Open Sans"/>
                <w:sz w:val="20"/>
                <w:szCs w:val="20"/>
                <w:lang w:val="fr-FR"/>
              </w:rPr>
            </w:pPr>
            <w:r w:rsidRPr="00202448">
              <w:rPr>
                <w:rFonts w:eastAsia="Times New Roman" w:cs="Open Sans"/>
                <w:sz w:val="20"/>
                <w:szCs w:val="20"/>
                <w:lang w:val="fr-FR"/>
              </w:rPr>
              <w:t xml:space="preserve">DE LA THÉORIE </w:t>
            </w:r>
            <w:r w:rsidRPr="00202448">
              <w:rPr>
                <w:rFonts w:ascii="Segoe UI" w:eastAsia="Times New Roman" w:hAnsi="Segoe UI" w:cs="Segoe UI"/>
                <w:sz w:val="20"/>
                <w:szCs w:val="20"/>
                <w:lang w:val="fr-FR"/>
              </w:rPr>
              <w:t xml:space="preserve">À </w:t>
            </w:r>
            <w:r w:rsidRPr="00202448">
              <w:rPr>
                <w:rFonts w:eastAsia="Times New Roman" w:cs="Open Sans"/>
                <w:sz w:val="20"/>
                <w:szCs w:val="20"/>
                <w:lang w:val="fr-FR"/>
              </w:rPr>
              <w:t>LA PRATIQUE</w:t>
            </w:r>
          </w:p>
        </w:tc>
        <w:tc>
          <w:tcPr>
            <w:tcW w:w="4980" w:type="dxa"/>
          </w:tcPr>
          <w:p w14:paraId="3EA4147D" w14:textId="5831990C" w:rsidR="00DA4D85" w:rsidRPr="00202448" w:rsidRDefault="00DA4D85" w:rsidP="00DA4D8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Circularité du modèle d’affaires</w:t>
            </w:r>
          </w:p>
          <w:p w14:paraId="37B2E40A" w14:textId="2F202924" w:rsidR="00DA4D85" w:rsidRPr="00202448" w:rsidRDefault="00DA4D85" w:rsidP="00DA4D8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Open Sans"/>
                <w:sz w:val="20"/>
                <w:szCs w:val="20"/>
                <w:lang w:val="en-US"/>
              </w:rPr>
            </w:pPr>
            <w:r w:rsidRPr="00202448">
              <w:rPr>
                <w:rFonts w:eastAsia="Times New Roman" w:cs="Open Sans"/>
                <w:sz w:val="20"/>
                <w:szCs w:val="20"/>
                <w:lang w:val="fr-FR"/>
              </w:rPr>
              <w:t>Durabilité économique</w:t>
            </w:r>
          </w:p>
        </w:tc>
        <w:tc>
          <w:tcPr>
            <w:tcW w:w="1204" w:type="dxa"/>
          </w:tcPr>
          <w:p w14:paraId="64E32B4C" w14:textId="77777777" w:rsidR="00DA4D85" w:rsidRPr="00202448" w:rsidRDefault="00DA4D85" w:rsidP="00DA4D85">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30</w:t>
            </w:r>
          </w:p>
          <w:p w14:paraId="7A00F060" w14:textId="77777777" w:rsidR="00DA4D85" w:rsidRPr="00202448" w:rsidRDefault="00DA4D85" w:rsidP="00DA4D85">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10</w:t>
            </w:r>
          </w:p>
        </w:tc>
      </w:tr>
      <w:tr w:rsidR="00DA4D85" w:rsidRPr="00202448" w14:paraId="35780495" w14:textId="77777777" w:rsidTr="00CD7277">
        <w:trPr>
          <w:trHeight w:val="320"/>
        </w:trPr>
        <w:tc>
          <w:tcPr>
            <w:cnfStyle w:val="001000000000" w:firstRow="0" w:lastRow="0" w:firstColumn="1" w:lastColumn="0" w:oddVBand="0" w:evenVBand="0" w:oddHBand="0" w:evenHBand="0" w:firstRowFirstColumn="0" w:firstRowLastColumn="0" w:lastRowFirstColumn="0" w:lastRowLastColumn="0"/>
            <w:tcW w:w="3395" w:type="dxa"/>
          </w:tcPr>
          <w:p w14:paraId="11399116" w14:textId="25869283" w:rsidR="00DA4D85" w:rsidRPr="00202448" w:rsidRDefault="00DA4D85" w:rsidP="00DA4D85">
            <w:pPr>
              <w:spacing w:before="120" w:after="120"/>
              <w:rPr>
                <w:rFonts w:eastAsia="Times New Roman" w:cs="Open Sans"/>
                <w:sz w:val="20"/>
                <w:szCs w:val="20"/>
                <w:lang w:val="fr-FR"/>
              </w:rPr>
            </w:pPr>
            <w:r w:rsidRPr="00202448">
              <w:rPr>
                <w:rFonts w:eastAsia="Times New Roman" w:cs="Open Sans"/>
                <w:sz w:val="20"/>
                <w:szCs w:val="20"/>
                <w:lang w:val="fr-FR"/>
              </w:rPr>
              <w:t>COMMUNICATION</w:t>
            </w:r>
          </w:p>
        </w:tc>
        <w:tc>
          <w:tcPr>
            <w:tcW w:w="4980" w:type="dxa"/>
          </w:tcPr>
          <w:p w14:paraId="687FB7C8" w14:textId="63D07330" w:rsidR="00DA4D85" w:rsidRPr="00202448" w:rsidRDefault="00DA4D85" w:rsidP="00DA4D8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Capacité de présentation</w:t>
            </w:r>
          </w:p>
        </w:tc>
        <w:tc>
          <w:tcPr>
            <w:tcW w:w="1204" w:type="dxa"/>
          </w:tcPr>
          <w:p w14:paraId="06BA55BE" w14:textId="77777777" w:rsidR="00DA4D85" w:rsidRPr="00202448" w:rsidRDefault="00DA4D85" w:rsidP="00DA4D85">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0"/>
                <w:szCs w:val="20"/>
                <w:lang w:val="fr-FR"/>
              </w:rPr>
            </w:pPr>
            <w:r w:rsidRPr="00202448">
              <w:rPr>
                <w:rFonts w:eastAsia="Times New Roman" w:cs="Open Sans"/>
                <w:sz w:val="20"/>
                <w:szCs w:val="20"/>
                <w:lang w:val="fr-FR"/>
              </w:rPr>
              <w:t>10</w:t>
            </w:r>
          </w:p>
        </w:tc>
      </w:tr>
      <w:tr w:rsidR="00DA4D85" w:rsidRPr="00202448" w14:paraId="441836F9" w14:textId="77777777" w:rsidTr="00CD72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75" w:type="dxa"/>
            <w:gridSpan w:val="2"/>
          </w:tcPr>
          <w:p w14:paraId="5854A88F" w14:textId="4BB4272F" w:rsidR="00DA4D85" w:rsidRPr="00202448" w:rsidRDefault="00DA4D85" w:rsidP="00DA4D85">
            <w:pPr>
              <w:spacing w:before="120" w:after="120"/>
              <w:rPr>
                <w:rFonts w:eastAsia="Times New Roman" w:cs="Open Sans"/>
                <w:sz w:val="20"/>
                <w:szCs w:val="20"/>
                <w:lang w:val="fr-FR"/>
              </w:rPr>
            </w:pPr>
            <w:r w:rsidRPr="00202448">
              <w:rPr>
                <w:rFonts w:eastAsia="Times New Roman" w:cs="Open Sans"/>
                <w:sz w:val="20"/>
                <w:szCs w:val="20"/>
                <w:lang w:val="fr-FR"/>
              </w:rPr>
              <w:t>POINTS</w:t>
            </w:r>
          </w:p>
        </w:tc>
        <w:tc>
          <w:tcPr>
            <w:tcW w:w="1204" w:type="dxa"/>
          </w:tcPr>
          <w:p w14:paraId="42D36D63" w14:textId="77777777" w:rsidR="00DA4D85" w:rsidRPr="00202448" w:rsidRDefault="00DA4D85" w:rsidP="00DA4D85">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Open Sans"/>
                <w:b/>
                <w:sz w:val="20"/>
                <w:szCs w:val="20"/>
                <w:lang w:val="fr-FR"/>
              </w:rPr>
            </w:pPr>
            <w:r w:rsidRPr="00202448">
              <w:rPr>
                <w:rFonts w:eastAsia="Times New Roman" w:cs="Open Sans"/>
                <w:b/>
                <w:sz w:val="20"/>
                <w:szCs w:val="20"/>
                <w:lang w:val="fr-FR"/>
              </w:rPr>
              <w:t>50</w:t>
            </w:r>
          </w:p>
        </w:tc>
      </w:tr>
    </w:tbl>
    <w:p w14:paraId="07895DD2" w14:textId="1D33109A" w:rsidR="00DA4D85" w:rsidRPr="00202448" w:rsidRDefault="00DA4D85" w:rsidP="00380ED4">
      <w:pPr>
        <w:spacing w:before="120" w:after="120"/>
        <w:rPr>
          <w:rFonts w:cs="Open Sans"/>
          <w:lang w:val="fr-FR"/>
        </w:rPr>
      </w:pPr>
      <w:r w:rsidRPr="00202448">
        <w:rPr>
          <w:rFonts w:cs="Open Sans"/>
          <w:lang w:val="fr-FR"/>
        </w:rPr>
        <w:t>Le classement est subdivisé par territoire et les TPE ou PME qui arrivent en tête du classement pour chaque région sont ceux qui reçoivent les prix.</w:t>
      </w:r>
    </w:p>
    <w:p w14:paraId="4B10959F" w14:textId="283E6111" w:rsidR="00DA4D85" w:rsidRPr="00202448" w:rsidRDefault="00DA4D85" w:rsidP="00380ED4">
      <w:pPr>
        <w:spacing w:before="120" w:after="120"/>
        <w:rPr>
          <w:rFonts w:cs="Open Sans"/>
          <w:lang w:val="fr-FR"/>
        </w:rPr>
      </w:pPr>
      <w:r w:rsidRPr="00202448">
        <w:rPr>
          <w:rFonts w:cs="Open Sans"/>
          <w:lang w:val="fr-FR"/>
        </w:rPr>
        <w:t>Les entreprises proposant des idées « circulaires » liées à la prévention, à la gestion et à la surveillance des risques actuels et futurs bénéficieront d'un bonus supplémentaire. En présence de cette catégorie d'idées d'entreprises, la Commission transfrontalière proc</w:t>
      </w:r>
      <w:r w:rsidR="00D70DB1" w:rsidRPr="00202448">
        <w:rPr>
          <w:rFonts w:cs="Open Sans"/>
          <w:lang w:val="fr-FR"/>
        </w:rPr>
        <w:t>ède</w:t>
      </w:r>
      <w:r w:rsidRPr="00202448">
        <w:rPr>
          <w:rFonts w:cs="Open Sans"/>
          <w:lang w:val="fr-FR"/>
        </w:rPr>
        <w:t xml:space="preserve"> à l'évaluation et établi</w:t>
      </w:r>
      <w:r w:rsidR="00D70DB1" w:rsidRPr="00202448">
        <w:rPr>
          <w:rFonts w:cs="Open Sans"/>
          <w:lang w:val="fr-FR"/>
        </w:rPr>
        <w:t>t</w:t>
      </w:r>
      <w:r w:rsidRPr="00202448">
        <w:rPr>
          <w:rFonts w:cs="Open Sans"/>
          <w:lang w:val="fr-FR"/>
        </w:rPr>
        <w:t xml:space="preserve"> un classement par territoire (uniquement pour les territoires où ces types de projets sont présents). </w:t>
      </w:r>
      <w:r w:rsidRPr="00202448">
        <w:rPr>
          <w:rFonts w:cs="Open Sans"/>
          <w:b/>
          <w:bCs/>
          <w:lang w:val="fr-FR"/>
        </w:rPr>
        <w:t xml:space="preserve">Les classements locaux permettront ensuite aux partenaires d'attribuer un prix (en </w:t>
      </w:r>
      <w:r w:rsidRPr="00202448">
        <w:rPr>
          <w:rFonts w:cs="Open Sans"/>
          <w:b/>
          <w:bCs/>
          <w:lang w:val="fr-FR"/>
        </w:rPr>
        <w:lastRenderedPageBreak/>
        <w:t>fonction des ressources financières dont ils disposent)</w:t>
      </w:r>
      <w:r w:rsidRPr="00202448">
        <w:rPr>
          <w:rFonts w:cs="Open Sans"/>
          <w:lang w:val="fr-FR"/>
        </w:rPr>
        <w:t xml:space="preserve"> aux projets qui proposent des processus, des outils et des services permettant de prévenir et de répondre aux situations de risque.</w:t>
      </w:r>
    </w:p>
    <w:tbl>
      <w:tblPr>
        <w:tblStyle w:val="Tabellaelenco3-colore11"/>
        <w:tblW w:w="5097" w:type="pct"/>
        <w:tblInd w:w="5" w:type="dxa"/>
        <w:tblCellMar>
          <w:left w:w="0" w:type="dxa"/>
          <w:right w:w="0" w:type="dxa"/>
        </w:tblCellMar>
        <w:tblLook w:val="04A0" w:firstRow="1" w:lastRow="0" w:firstColumn="1" w:lastColumn="0" w:noHBand="0" w:noVBand="1"/>
      </w:tblPr>
      <w:tblGrid>
        <w:gridCol w:w="9621"/>
        <w:gridCol w:w="584"/>
      </w:tblGrid>
      <w:tr w:rsidR="00DA4D85" w:rsidRPr="00202448" w14:paraId="66D2AA14" w14:textId="77777777" w:rsidTr="00CD727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5000" w:type="pct"/>
            <w:gridSpan w:val="2"/>
          </w:tcPr>
          <w:p w14:paraId="37522E9A" w14:textId="47FC9999" w:rsidR="00DA4D85" w:rsidRPr="00202448" w:rsidRDefault="00DA4D85" w:rsidP="00DA4D85">
            <w:pPr>
              <w:spacing w:before="120" w:after="120"/>
              <w:rPr>
                <w:rFonts w:eastAsia="Times New Roman" w:cs="Open Sans"/>
                <w:sz w:val="20"/>
                <w:szCs w:val="20"/>
                <w:lang w:val="fr-FR"/>
              </w:rPr>
            </w:pPr>
            <w:r w:rsidRPr="00202448">
              <w:rPr>
                <w:rFonts w:eastAsia="Times New Roman" w:cs="Open Sans"/>
                <w:sz w:val="20"/>
                <w:szCs w:val="20"/>
                <w:lang w:val="fr-FR"/>
              </w:rPr>
              <w:t>POINTS SUPPL</w:t>
            </w:r>
            <w:bookmarkStart w:id="1" w:name="_Hlk69287306"/>
            <w:r w:rsidRPr="00202448">
              <w:rPr>
                <w:rFonts w:eastAsia="Times New Roman" w:cs="Open Sans"/>
                <w:sz w:val="20"/>
                <w:szCs w:val="20"/>
                <w:lang w:val="fr-FR"/>
              </w:rPr>
              <w:t>É</w:t>
            </w:r>
            <w:bookmarkEnd w:id="1"/>
            <w:r w:rsidRPr="00202448">
              <w:rPr>
                <w:rFonts w:eastAsia="Times New Roman" w:cs="Open Sans"/>
                <w:sz w:val="20"/>
                <w:szCs w:val="20"/>
                <w:lang w:val="fr-FR"/>
              </w:rPr>
              <w:t>MENTAIRES</w:t>
            </w:r>
          </w:p>
        </w:tc>
      </w:tr>
      <w:tr w:rsidR="00DA4D85" w:rsidRPr="00202448" w14:paraId="67F4C78E" w14:textId="77777777" w:rsidTr="00CD72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4" w:type="pct"/>
          </w:tcPr>
          <w:p w14:paraId="3AD39CD4" w14:textId="0F5B7713" w:rsidR="00DA4D85" w:rsidRPr="00202448" w:rsidRDefault="00DA4D85" w:rsidP="00DA4D85">
            <w:pPr>
              <w:spacing w:before="120" w:after="120"/>
              <w:rPr>
                <w:rFonts w:eastAsia="Times New Roman" w:cs="Open Sans"/>
                <w:sz w:val="20"/>
                <w:szCs w:val="20"/>
                <w:lang w:val="fr-FR"/>
              </w:rPr>
            </w:pPr>
            <w:r w:rsidRPr="00202448">
              <w:rPr>
                <w:rFonts w:eastAsia="Times New Roman" w:cs="Open Sans"/>
                <w:sz w:val="20"/>
                <w:szCs w:val="20"/>
                <w:lang w:val="fr-FR"/>
              </w:rPr>
              <w:t>CAPACITÉ DE GARANTIR LA « BUSINESS &amp; LIFE CONTINUITY »</w:t>
            </w:r>
          </w:p>
        </w:tc>
        <w:tc>
          <w:tcPr>
            <w:tcW w:w="286" w:type="pct"/>
            <w:tcBorders>
              <w:left w:val="nil"/>
            </w:tcBorders>
          </w:tcPr>
          <w:p w14:paraId="63344981" w14:textId="77777777" w:rsidR="00DA4D85" w:rsidRPr="00202448" w:rsidRDefault="00DA4D85" w:rsidP="00DA4D8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Open Sans"/>
                <w:b/>
                <w:sz w:val="20"/>
                <w:szCs w:val="20"/>
                <w:lang w:val="fr-FR"/>
              </w:rPr>
            </w:pPr>
            <w:r w:rsidRPr="00202448">
              <w:rPr>
                <w:rFonts w:eastAsia="Times New Roman" w:cs="Open Sans"/>
                <w:b/>
                <w:sz w:val="20"/>
                <w:szCs w:val="20"/>
                <w:lang w:val="fr-FR"/>
              </w:rPr>
              <w:t>10</w:t>
            </w:r>
          </w:p>
        </w:tc>
      </w:tr>
    </w:tbl>
    <w:p w14:paraId="2F1DD481" w14:textId="294D0BC6" w:rsidR="00DA4D85" w:rsidRPr="00202448" w:rsidRDefault="00DA4D85" w:rsidP="00380ED4">
      <w:pPr>
        <w:spacing w:before="120" w:after="120"/>
        <w:rPr>
          <w:rFonts w:cs="Open Sans"/>
          <w:lang w:val="fr-FR"/>
        </w:rPr>
      </w:pPr>
      <w:r w:rsidRPr="00202448">
        <w:rPr>
          <w:rFonts w:cs="Open Sans"/>
          <w:lang w:val="fr-FR"/>
        </w:rPr>
        <w:t xml:space="preserve">L'annonce des gagnants et la remise des prix auront lieu lors de l'événement final du </w:t>
      </w:r>
      <w:r w:rsidR="00CE7B2B" w:rsidRPr="00202448">
        <w:rPr>
          <w:rFonts w:cs="Open Sans"/>
          <w:lang w:val="fr-FR"/>
        </w:rPr>
        <w:t>Concours.</w:t>
      </w:r>
    </w:p>
    <w:p w14:paraId="4161090A" w14:textId="27E5FF33" w:rsidR="00110D5A" w:rsidRPr="00202448" w:rsidRDefault="00110D5A" w:rsidP="00380ED4">
      <w:pPr>
        <w:spacing w:before="120" w:after="120"/>
        <w:rPr>
          <w:rFonts w:cs="Open Sans"/>
          <w:b/>
          <w:bCs/>
          <w:lang w:val="fr-FR"/>
        </w:rPr>
      </w:pPr>
      <w:r w:rsidRPr="00202448">
        <w:rPr>
          <w:rFonts w:cs="Open Sans"/>
          <w:b/>
          <w:bCs/>
          <w:lang w:val="fr-FR"/>
        </w:rPr>
        <w:t>ART. 9 Comités locaux et Commission transfrontalière</w:t>
      </w:r>
    </w:p>
    <w:p w14:paraId="3D7C063E" w14:textId="493B5028" w:rsidR="00110D5A" w:rsidRPr="00202448" w:rsidRDefault="00110D5A" w:rsidP="00380ED4">
      <w:pPr>
        <w:spacing w:before="120" w:after="120"/>
        <w:rPr>
          <w:rFonts w:cs="Open Sans"/>
          <w:lang w:val="fr-FR"/>
        </w:rPr>
      </w:pPr>
      <w:r w:rsidRPr="00202448">
        <w:rPr>
          <w:rFonts w:cs="Open Sans"/>
          <w:lang w:val="fr-FR"/>
        </w:rPr>
        <w:t xml:space="preserve">Les Comités locaux, un pour chaque territoire partenaire, sont constitués </w:t>
      </w:r>
      <w:r w:rsidR="00825B85">
        <w:rPr>
          <w:rFonts w:cs="Open Sans"/>
          <w:lang w:val="fr-FR"/>
        </w:rPr>
        <w:t>de</w:t>
      </w:r>
      <w:r w:rsidR="00D434BA" w:rsidRPr="00202448">
        <w:rPr>
          <w:rFonts w:cs="Open Sans"/>
          <w:lang w:val="fr-FR"/>
        </w:rPr>
        <w:t xml:space="preserve"> trois</w:t>
      </w:r>
      <w:r w:rsidRPr="00202448">
        <w:rPr>
          <w:rFonts w:cs="Open Sans"/>
          <w:lang w:val="fr-FR"/>
        </w:rPr>
        <w:t xml:space="preserve"> référents de chaque partenaire.</w:t>
      </w:r>
    </w:p>
    <w:p w14:paraId="0403D65F" w14:textId="629145A1" w:rsidR="00110D5A" w:rsidRPr="00202448" w:rsidRDefault="00110D5A" w:rsidP="00380ED4">
      <w:pPr>
        <w:spacing w:before="120" w:after="120"/>
        <w:rPr>
          <w:rFonts w:cs="Open Sans"/>
          <w:lang w:val="fr-FR"/>
        </w:rPr>
      </w:pPr>
      <w:r w:rsidRPr="00202448">
        <w:rPr>
          <w:rFonts w:cs="Open Sans"/>
          <w:lang w:val="fr-FR"/>
        </w:rPr>
        <w:t xml:space="preserve">La Commission d'évaluation transfrontalière est </w:t>
      </w:r>
      <w:r w:rsidR="00D434BA" w:rsidRPr="00202448">
        <w:rPr>
          <w:rFonts w:cs="Open Sans"/>
          <w:lang w:val="fr-FR"/>
        </w:rPr>
        <w:t xml:space="preserve">composée </w:t>
      </w:r>
      <w:r w:rsidR="00825B85">
        <w:rPr>
          <w:rFonts w:cs="Open Sans"/>
          <w:lang w:val="fr-FR"/>
        </w:rPr>
        <w:t>d’</w:t>
      </w:r>
      <w:r w:rsidR="00D434BA" w:rsidRPr="00202448">
        <w:rPr>
          <w:rFonts w:cs="Open Sans"/>
          <w:lang w:val="fr-FR"/>
        </w:rPr>
        <w:t>un référent pour chaque partenaire impliqué dans la fourniture de services aux entreprises (CSPI, CERSAA, SSSA, CCIHC, CCI VAR),</w:t>
      </w:r>
    </w:p>
    <w:p w14:paraId="2D93A12B" w14:textId="264FE31A" w:rsidR="00110D5A" w:rsidRPr="00202448" w:rsidRDefault="00110D5A" w:rsidP="00380ED4">
      <w:pPr>
        <w:spacing w:before="120" w:after="120"/>
        <w:rPr>
          <w:rFonts w:cs="Open Sans"/>
          <w:lang w:val="fr-FR"/>
        </w:rPr>
      </w:pPr>
      <w:r w:rsidRPr="00202448">
        <w:rPr>
          <w:rFonts w:cs="Open Sans"/>
          <w:lang w:val="fr-FR"/>
        </w:rPr>
        <w:t>Tous les membres des Comités locaux et de la Commission transfrontalière sont soumis à une confidentialité totale concernant les informations fournies par les candidats. Aucune information ne sera divulguée sans le consentement du candidat.</w:t>
      </w:r>
    </w:p>
    <w:p w14:paraId="61C82234" w14:textId="732BB7CE" w:rsidR="00110D5A" w:rsidRPr="00202448" w:rsidRDefault="00110D5A" w:rsidP="00380ED4">
      <w:pPr>
        <w:spacing w:before="120" w:after="120"/>
        <w:rPr>
          <w:rFonts w:cs="Open Sans"/>
          <w:b/>
          <w:bCs/>
          <w:lang w:val="fr-FR"/>
        </w:rPr>
      </w:pPr>
      <w:r w:rsidRPr="00202448">
        <w:rPr>
          <w:rFonts w:cs="Open Sans"/>
          <w:b/>
          <w:bCs/>
          <w:lang w:val="fr-FR"/>
        </w:rPr>
        <w:t>ART. 10 Durée de la procédure d’évaluation</w:t>
      </w:r>
    </w:p>
    <w:p w14:paraId="2394AFF8" w14:textId="68BF4EA9" w:rsidR="00522CE3" w:rsidRPr="00202448" w:rsidRDefault="00110D5A" w:rsidP="00522CE3">
      <w:pPr>
        <w:spacing w:before="120" w:after="120"/>
        <w:rPr>
          <w:rFonts w:cs="Open Sans"/>
          <w:lang w:val="fr-FR"/>
        </w:rPr>
      </w:pPr>
      <w:r w:rsidRPr="00202448">
        <w:rPr>
          <w:rFonts w:cs="Open Sans"/>
          <w:lang w:val="fr-FR"/>
        </w:rPr>
        <w:t>Calendrier du processus d'évaluation :</w:t>
      </w:r>
    </w:p>
    <w:p w14:paraId="0E399C57" w14:textId="4E33CAC0" w:rsidR="00110D5A" w:rsidRPr="00202448" w:rsidRDefault="00110D5A" w:rsidP="00522CE3">
      <w:pPr>
        <w:spacing w:before="120" w:after="120"/>
        <w:rPr>
          <w:rFonts w:cs="Open Sans"/>
          <w:lang w:val="fr-FR"/>
        </w:rPr>
      </w:pPr>
      <w:r w:rsidRPr="00202448">
        <w:rPr>
          <w:rFonts w:cs="Open Sans"/>
          <w:b/>
          <w:bCs/>
          <w:lang w:val="fr-FR"/>
        </w:rPr>
        <w:t>Phases 1 et 2</w:t>
      </w:r>
      <w:r w:rsidRPr="00202448">
        <w:rPr>
          <w:rFonts w:cs="Open Sans"/>
          <w:lang w:val="fr-FR"/>
        </w:rPr>
        <w:t xml:space="preserve"> : </w:t>
      </w:r>
      <w:r w:rsidRPr="0087373D">
        <w:rPr>
          <w:rFonts w:cs="Open Sans"/>
          <w:highlight w:val="yellow"/>
          <w:lang w:val="fr-FR"/>
        </w:rPr>
        <w:t xml:space="preserve">avant </w:t>
      </w:r>
      <w:r w:rsidR="00D35E71">
        <w:rPr>
          <w:rFonts w:cs="Open Sans"/>
          <w:highlight w:val="yellow"/>
          <w:lang w:val="fr-FR"/>
        </w:rPr>
        <w:t>octo</w:t>
      </w:r>
      <w:r w:rsidR="0087373D" w:rsidRPr="0087373D">
        <w:rPr>
          <w:rFonts w:cs="Open Sans"/>
          <w:highlight w:val="yellow"/>
          <w:lang w:val="fr-FR"/>
        </w:rPr>
        <w:t>bre</w:t>
      </w:r>
      <w:r w:rsidRPr="0087373D">
        <w:rPr>
          <w:rFonts w:cs="Open Sans"/>
          <w:highlight w:val="yellow"/>
          <w:lang w:val="fr-FR"/>
        </w:rPr>
        <w:t xml:space="preserve"> 2021</w:t>
      </w:r>
      <w:r w:rsidRPr="00202448">
        <w:rPr>
          <w:rFonts w:cs="Open Sans"/>
          <w:lang w:val="fr-FR"/>
        </w:rPr>
        <w:t xml:space="preserve">, évaluation des candidatures par les </w:t>
      </w:r>
      <w:r w:rsidR="007763B1" w:rsidRPr="00202448">
        <w:rPr>
          <w:rFonts w:cs="Open Sans"/>
          <w:lang w:val="fr-FR"/>
        </w:rPr>
        <w:t>C</w:t>
      </w:r>
      <w:r w:rsidRPr="00202448">
        <w:rPr>
          <w:rFonts w:cs="Open Sans"/>
          <w:lang w:val="fr-FR"/>
        </w:rPr>
        <w:t xml:space="preserve">omités locaux et la </w:t>
      </w:r>
      <w:r w:rsidR="007763B1" w:rsidRPr="00202448">
        <w:rPr>
          <w:rFonts w:cs="Open Sans"/>
          <w:lang w:val="fr-FR"/>
        </w:rPr>
        <w:t>C</w:t>
      </w:r>
      <w:r w:rsidRPr="00202448">
        <w:rPr>
          <w:rFonts w:cs="Open Sans"/>
          <w:lang w:val="fr-FR"/>
        </w:rPr>
        <w:t xml:space="preserve">ommission transfrontalière pour l'admission des </w:t>
      </w:r>
      <w:r w:rsidR="007763B1" w:rsidRPr="00202448">
        <w:rPr>
          <w:rFonts w:cs="Open Sans"/>
          <w:lang w:val="fr-FR"/>
        </w:rPr>
        <w:t>TPE et PME</w:t>
      </w:r>
      <w:r w:rsidRPr="00202448">
        <w:rPr>
          <w:rFonts w:cs="Open Sans"/>
          <w:lang w:val="fr-FR"/>
        </w:rPr>
        <w:t xml:space="preserve"> aux sessions de </w:t>
      </w:r>
      <w:r w:rsidR="007763B1" w:rsidRPr="00202448">
        <w:rPr>
          <w:rFonts w:cs="Open Sans"/>
          <w:lang w:val="fr-FR"/>
        </w:rPr>
        <w:t>tutorat</w:t>
      </w:r>
      <w:r w:rsidRPr="00202448">
        <w:rPr>
          <w:rFonts w:cs="Open Sans"/>
          <w:lang w:val="fr-FR"/>
        </w:rPr>
        <w:t xml:space="preserve"> du </w:t>
      </w:r>
      <w:r w:rsidR="00DA5FF5" w:rsidRPr="00202448">
        <w:rPr>
          <w:rFonts w:cs="Open Sans"/>
          <w:lang w:val="fr-FR"/>
        </w:rPr>
        <w:t>« </w:t>
      </w:r>
      <w:r w:rsidR="007763B1" w:rsidRPr="00202448">
        <w:rPr>
          <w:rFonts w:cs="Open Sans"/>
          <w:lang w:val="fr-FR"/>
        </w:rPr>
        <w:t>C</w:t>
      </w:r>
      <w:r w:rsidRPr="00202448">
        <w:rPr>
          <w:rFonts w:cs="Open Sans"/>
          <w:lang w:val="fr-FR"/>
        </w:rPr>
        <w:t xml:space="preserve">oncours </w:t>
      </w:r>
      <w:r w:rsidR="007763B1" w:rsidRPr="00202448">
        <w:rPr>
          <w:rFonts w:cs="Open Sans"/>
          <w:lang w:val="fr-FR"/>
        </w:rPr>
        <w:t>J</w:t>
      </w:r>
      <w:r w:rsidRPr="00202448">
        <w:rPr>
          <w:rFonts w:cs="Open Sans"/>
          <w:lang w:val="fr-FR"/>
        </w:rPr>
        <w:t xml:space="preserve">eunes </w:t>
      </w:r>
      <w:r w:rsidR="007763B1" w:rsidRPr="00202448">
        <w:rPr>
          <w:rFonts w:cs="Open Sans"/>
          <w:lang w:val="fr-FR"/>
        </w:rPr>
        <w:t>E</w:t>
      </w:r>
      <w:r w:rsidRPr="00202448">
        <w:rPr>
          <w:rFonts w:cs="Open Sans"/>
          <w:lang w:val="fr-FR"/>
        </w:rPr>
        <w:t>ntreprises de l'</w:t>
      </w:r>
      <w:r w:rsidR="007763B1" w:rsidRPr="00202448">
        <w:rPr>
          <w:rFonts w:cs="Open Sans"/>
          <w:lang w:val="fr-FR"/>
        </w:rPr>
        <w:t>É</w:t>
      </w:r>
      <w:r w:rsidRPr="00202448">
        <w:rPr>
          <w:rFonts w:cs="Open Sans"/>
          <w:lang w:val="fr-FR"/>
        </w:rPr>
        <w:t xml:space="preserve">conomie </w:t>
      </w:r>
      <w:r w:rsidR="007763B1" w:rsidRPr="00202448">
        <w:rPr>
          <w:rFonts w:cs="Open Sans"/>
          <w:lang w:val="fr-FR"/>
        </w:rPr>
        <w:t>C</w:t>
      </w:r>
      <w:r w:rsidRPr="00202448">
        <w:rPr>
          <w:rFonts w:cs="Open Sans"/>
          <w:lang w:val="fr-FR"/>
        </w:rPr>
        <w:t>irculaire</w:t>
      </w:r>
      <w:r w:rsidR="00DA5FF5" w:rsidRPr="00202448">
        <w:rPr>
          <w:rFonts w:cs="Open Sans"/>
          <w:lang w:val="fr-FR"/>
        </w:rPr>
        <w:t> »</w:t>
      </w:r>
      <w:r w:rsidRPr="00202448">
        <w:rPr>
          <w:rFonts w:cs="Open Sans"/>
          <w:lang w:val="fr-FR"/>
        </w:rPr>
        <w:t>.</w:t>
      </w:r>
    </w:p>
    <w:p w14:paraId="3027B814" w14:textId="486BE521" w:rsidR="007763B1" w:rsidRPr="00202448" w:rsidRDefault="007763B1" w:rsidP="00522CE3">
      <w:pPr>
        <w:spacing w:before="120" w:after="120"/>
        <w:rPr>
          <w:rFonts w:cs="Open Sans"/>
          <w:lang w:val="fr-FR"/>
        </w:rPr>
      </w:pPr>
      <w:r w:rsidRPr="00202448">
        <w:rPr>
          <w:rFonts w:cs="Open Sans"/>
          <w:b/>
          <w:bCs/>
          <w:lang w:val="fr-FR"/>
        </w:rPr>
        <w:t>Phase 3</w:t>
      </w:r>
      <w:r w:rsidRPr="00202448">
        <w:rPr>
          <w:rFonts w:cs="Open Sans"/>
          <w:lang w:val="fr-FR"/>
        </w:rPr>
        <w:t xml:space="preserve"> : avant décembre 2021, à la fin du parcours, évaluation des TPE et PME participantes par les Comités locaux, pour l'accès aux sessions de coaching. </w:t>
      </w:r>
    </w:p>
    <w:p w14:paraId="21F28C01" w14:textId="2D44045B" w:rsidR="007763B1" w:rsidRPr="00202448" w:rsidRDefault="007763B1" w:rsidP="00522CE3">
      <w:pPr>
        <w:spacing w:before="120" w:after="120"/>
        <w:rPr>
          <w:rFonts w:cs="Open Sans"/>
          <w:lang w:val="fr-FR"/>
        </w:rPr>
      </w:pPr>
      <w:r w:rsidRPr="00202448">
        <w:rPr>
          <w:rFonts w:cs="Open Sans"/>
          <w:b/>
          <w:bCs/>
          <w:lang w:val="fr-FR"/>
        </w:rPr>
        <w:t>Phase 4</w:t>
      </w:r>
      <w:r w:rsidRPr="00202448">
        <w:rPr>
          <w:rFonts w:cs="Open Sans"/>
          <w:lang w:val="fr-FR"/>
        </w:rPr>
        <w:t xml:space="preserve"> : </w:t>
      </w:r>
      <w:r w:rsidR="0087373D">
        <w:rPr>
          <w:rFonts w:cs="Open Sans"/>
          <w:lang w:val="fr-FR"/>
        </w:rPr>
        <w:t xml:space="preserve">avant juin 2022, </w:t>
      </w:r>
      <w:r w:rsidRPr="00202448">
        <w:rPr>
          <w:rFonts w:cs="Open Sans"/>
          <w:lang w:val="fr-FR"/>
        </w:rPr>
        <w:t xml:space="preserve">évaluation finale des participants par la Commission transfrontalière (le classement final se fera sur une base territoriale et devra tenir compte des évaluations de la CE-TF et des notes du jury composé pour le </w:t>
      </w:r>
      <w:proofErr w:type="spellStart"/>
      <w:r w:rsidRPr="00202448">
        <w:rPr>
          <w:rFonts w:cs="Open Sans"/>
          <w:lang w:val="fr-FR"/>
        </w:rPr>
        <w:t>Pitching</w:t>
      </w:r>
      <w:proofErr w:type="spellEnd"/>
      <w:r w:rsidRPr="00202448">
        <w:rPr>
          <w:rFonts w:cs="Open Sans"/>
          <w:lang w:val="fr-FR"/>
        </w:rPr>
        <w:t xml:space="preserve"> Day) et attribution des prix.</w:t>
      </w:r>
    </w:p>
    <w:p w14:paraId="2AFA166D" w14:textId="662283F9" w:rsidR="007763B1" w:rsidRPr="00202448" w:rsidRDefault="007763B1" w:rsidP="00522CE3">
      <w:pPr>
        <w:spacing w:before="120" w:after="120"/>
        <w:rPr>
          <w:rFonts w:cs="Open Sans"/>
          <w:b/>
          <w:bCs/>
          <w:lang w:val="fr-FR"/>
        </w:rPr>
      </w:pPr>
      <w:r w:rsidRPr="00202448">
        <w:rPr>
          <w:rFonts w:cs="Open Sans"/>
          <w:b/>
          <w:bCs/>
          <w:lang w:val="fr-FR"/>
        </w:rPr>
        <w:t>ART. 11 Contraintes pour les participants</w:t>
      </w:r>
    </w:p>
    <w:p w14:paraId="552DD932" w14:textId="3256EB9E" w:rsidR="007763B1" w:rsidRPr="00202448" w:rsidRDefault="007763B1" w:rsidP="00522CE3">
      <w:pPr>
        <w:spacing w:before="120" w:after="120"/>
        <w:rPr>
          <w:rFonts w:cs="Open Sans"/>
          <w:lang w:val="fr-FR"/>
        </w:rPr>
      </w:pPr>
      <w:r w:rsidRPr="00202448">
        <w:rPr>
          <w:rFonts w:cs="Open Sans"/>
          <w:lang w:val="fr-FR"/>
        </w:rPr>
        <w:t>Les jeunes entreprises sélectionnées sont en droit de participer à des séances de mentorat et de coaching et de concourir pour les prix finaux. En cas de renonciation, il est nécessaire d'envoyer, dans un délai d'une semaine à compter de la publication de la liste de classement pour l'admission aux sessions de tutorat, un e-mail à la personne de contact de la région à laquelle elle appartient, dont les contacts sont rapportés dans l'ART. 13 suivant, pour revoir le classement à la baisse et permettre à l'entreprise suivante de participer.</w:t>
      </w:r>
    </w:p>
    <w:p w14:paraId="4B99D5D4" w14:textId="736888F0" w:rsidR="007763B1" w:rsidRDefault="007763B1" w:rsidP="00522CE3">
      <w:pPr>
        <w:spacing w:before="120" w:after="120"/>
        <w:rPr>
          <w:rFonts w:cs="Open Sans"/>
          <w:lang w:val="fr-FR"/>
        </w:rPr>
      </w:pPr>
      <w:r w:rsidRPr="00202448">
        <w:rPr>
          <w:rFonts w:cs="Open Sans"/>
          <w:lang w:val="fr-FR"/>
        </w:rPr>
        <w:t>Pour avoir accès aux séances de coaching individuel et concourir pour les prix, il est nécessaire d'avoir assisté, selon les modalités prévues à l'ART. 4, à au moins 70% du nombre total d'heures prévues pour les séances de tutorat.</w:t>
      </w:r>
    </w:p>
    <w:p w14:paraId="0C5A41B9" w14:textId="77777777" w:rsidR="004B3636" w:rsidRPr="00202448" w:rsidRDefault="004B3636" w:rsidP="00522CE3">
      <w:pPr>
        <w:spacing w:before="120" w:after="120"/>
        <w:rPr>
          <w:rFonts w:cs="Open Sans"/>
          <w:lang w:val="fr-FR"/>
        </w:rPr>
      </w:pPr>
    </w:p>
    <w:p w14:paraId="057B71EB" w14:textId="77777777" w:rsidR="000E54E9" w:rsidRPr="00202448" w:rsidRDefault="000E54E9" w:rsidP="000E54E9">
      <w:pPr>
        <w:spacing w:before="120" w:after="120"/>
        <w:rPr>
          <w:b/>
          <w:bCs/>
          <w:lang w:val="fr-FR"/>
        </w:rPr>
      </w:pPr>
      <w:r w:rsidRPr="00202448">
        <w:rPr>
          <w:b/>
          <w:bCs/>
          <w:lang w:val="fr-FR"/>
        </w:rPr>
        <w:t xml:space="preserve">ART. 12 </w:t>
      </w:r>
      <w:bookmarkStart w:id="2" w:name="_Hlk66437807"/>
      <w:r w:rsidRPr="00202448">
        <w:rPr>
          <w:b/>
          <w:bCs/>
          <w:lang w:val="fr-FR"/>
        </w:rPr>
        <w:t xml:space="preserve">Traitement des données personnelles </w:t>
      </w:r>
    </w:p>
    <w:p w14:paraId="5599294D" w14:textId="7D32562C" w:rsidR="000E54E9" w:rsidRPr="00202448" w:rsidRDefault="000E54E9" w:rsidP="000E54E9">
      <w:pPr>
        <w:spacing w:before="120" w:after="120"/>
        <w:rPr>
          <w:lang w:val="fr-FR"/>
        </w:rPr>
      </w:pPr>
      <w:r w:rsidRPr="00202448">
        <w:rPr>
          <w:lang w:val="fr-FR"/>
        </w:rPr>
        <w:lastRenderedPageBreak/>
        <w:t>Toutes les données fournies dans le cadre du projet ECO-CIRCuS</w:t>
      </w:r>
      <w:r w:rsidRPr="00202448">
        <w:rPr>
          <w:rFonts w:cs="Open Sans"/>
          <w:lang w:val="fr-FR"/>
        </w:rPr>
        <w:t xml:space="preserve"> </w:t>
      </w:r>
      <w:r w:rsidRPr="00202448">
        <w:rPr>
          <w:lang w:val="fr-FR"/>
        </w:rPr>
        <w:t xml:space="preserve">sont soumises aux dispositions de la Loi n°78-17 du 6 janvier 1978 modifiée, au décret n°2019-536 du 29 mai 2019 ainsi qu’au règlement (UE 2016/679) du Parlement européen et du conseil du 27 avril 2016 relatif à la protection des personnes physiques à l’égard du traitement des données à caractère personnel. Les partenaires du projet agissent en tant que responsables conjoints conformément à l'article 26 du Règlement UE 2016/679 </w:t>
      </w:r>
      <w:bookmarkEnd w:id="2"/>
      <w:r w:rsidRPr="00202448">
        <w:rPr>
          <w:lang w:val="fr-FR"/>
        </w:rPr>
        <w:t xml:space="preserve">et s'engagent à cet effet à garantir aux personnes concernées l'exercice de leurs droits sur les données qu'elles traitent. Les parties intéressées peuvent soumettre une demande au partenaire de référence de leur région pour l'exercice de leurs droits. </w:t>
      </w:r>
    </w:p>
    <w:p w14:paraId="6FD23F85" w14:textId="77777777" w:rsidR="000E54E9" w:rsidRPr="00202448" w:rsidRDefault="000E54E9" w:rsidP="000E54E9">
      <w:pPr>
        <w:spacing w:before="120" w:after="120"/>
        <w:rPr>
          <w:lang w:val="fr-FR"/>
        </w:rPr>
      </w:pPr>
      <w:r w:rsidRPr="00202448">
        <w:rPr>
          <w:lang w:val="fr-FR"/>
        </w:rPr>
        <w:t>Le traitement des données sera conforme aux articles 25 et 26 du règlement UE2016/679.</w:t>
      </w:r>
    </w:p>
    <w:p w14:paraId="6FDBB545" w14:textId="77777777" w:rsidR="000E54E9" w:rsidRPr="00202448" w:rsidRDefault="000E54E9" w:rsidP="000E54E9">
      <w:pPr>
        <w:spacing w:before="120" w:after="120"/>
        <w:rPr>
          <w:lang w:val="fr-FR"/>
        </w:rPr>
      </w:pPr>
      <w:r w:rsidRPr="00202448">
        <w:rPr>
          <w:lang w:val="fr-FR"/>
        </w:rPr>
        <w:t>Toutes les données personnelles communiquées dans le cadre du Projet ECO-CIRCuS sont utilisées uniquement aux fins indiquées dans l’appel à candidature. La fourniture des données est obligatoire afin de permettre l’accomplissement des enquêtes préliminaires pour l'admission à participer au projet et ensuite pour la gestion complète et la mise en œuvre des activités prévues dans l'avis.</w:t>
      </w:r>
    </w:p>
    <w:p w14:paraId="5AC5FDE5" w14:textId="77777777" w:rsidR="000E54E9" w:rsidRPr="00202448" w:rsidRDefault="000E54E9" w:rsidP="000E54E9">
      <w:pPr>
        <w:spacing w:before="120" w:after="120"/>
        <w:rPr>
          <w:lang w:val="fr-FR"/>
        </w:rPr>
      </w:pPr>
      <w:r w:rsidRPr="00202448">
        <w:rPr>
          <w:lang w:val="fr-FR"/>
        </w:rPr>
        <w:t xml:space="preserve">L'absence de communication de ces données implique la déchéance du droit à l’intégration à la Liste d’experts. </w:t>
      </w:r>
    </w:p>
    <w:p w14:paraId="78AA0E55" w14:textId="77777777" w:rsidR="000E54E9" w:rsidRPr="00202448" w:rsidRDefault="000E54E9" w:rsidP="000E54E9">
      <w:pPr>
        <w:spacing w:before="120" w:after="120"/>
        <w:rPr>
          <w:lang w:val="fr-FR"/>
        </w:rPr>
      </w:pPr>
      <w:r w:rsidRPr="00202448">
        <w:rPr>
          <w:lang w:val="fr-FR"/>
        </w:rPr>
        <w:t xml:space="preserve">Les données sont traitées électroniquement et peuvent être collectées sur papier. Les données peuvent être communiquées, sous la responsabilité de chaque partenaire du projet, aux sujets et entités qui y collaborent, ainsi qu’aux autorités publiques nationales et communautaires, conformément à la législation en vigueur. </w:t>
      </w:r>
    </w:p>
    <w:p w14:paraId="2EF4D269" w14:textId="7D980449" w:rsidR="000E54E9" w:rsidRDefault="000E54E9" w:rsidP="000E54E9">
      <w:pPr>
        <w:spacing w:before="120" w:after="120"/>
        <w:rPr>
          <w:lang w:val="fr-FR"/>
        </w:rPr>
      </w:pPr>
      <w:r w:rsidRPr="00202448">
        <w:rPr>
          <w:lang w:val="fr-FR"/>
        </w:rPr>
        <w:t xml:space="preserve">En outre, le transfert de données personnelles en dehors de l'Union Européenne n'est pas envisagé. </w:t>
      </w:r>
    </w:p>
    <w:p w14:paraId="4BE9598F" w14:textId="77777777" w:rsidR="004B3636" w:rsidRPr="00202448" w:rsidRDefault="004B3636" w:rsidP="000E54E9">
      <w:pPr>
        <w:spacing w:before="120" w:after="120"/>
        <w:rPr>
          <w:lang w:val="fr-FR"/>
        </w:rPr>
      </w:pPr>
    </w:p>
    <w:p w14:paraId="5528A4C0" w14:textId="593D5C61" w:rsidR="007763B1" w:rsidRPr="00202448" w:rsidRDefault="000E54E9" w:rsidP="000E54E9">
      <w:pPr>
        <w:spacing w:before="120" w:after="120"/>
        <w:rPr>
          <w:b/>
          <w:bCs/>
          <w:lang w:val="fr-FR"/>
        </w:rPr>
      </w:pPr>
      <w:r w:rsidRPr="00202448">
        <w:rPr>
          <w:b/>
          <w:bCs/>
          <w:lang w:val="fr-FR"/>
        </w:rPr>
        <w:t>ART. 13 Contacts</w:t>
      </w:r>
    </w:p>
    <w:p w14:paraId="33E7EFFB" w14:textId="00D66FBB" w:rsidR="000E54E9" w:rsidRPr="00202448" w:rsidRDefault="000E54E9" w:rsidP="000E54E9">
      <w:pPr>
        <w:spacing w:before="120" w:after="120"/>
        <w:rPr>
          <w:rFonts w:cs="Open Sans"/>
          <w:u w:val="single"/>
          <w:lang w:val="fr-FR"/>
        </w:rPr>
      </w:pPr>
      <w:r w:rsidRPr="00202448">
        <w:rPr>
          <w:rFonts w:cs="Open Sans"/>
          <w:u w:val="single"/>
          <w:lang w:val="fr-FR"/>
        </w:rPr>
        <w:t>Sard</w:t>
      </w:r>
      <w:r w:rsidR="00EB7998" w:rsidRPr="00202448">
        <w:rPr>
          <w:rFonts w:cs="Open Sans"/>
          <w:u w:val="single"/>
          <w:lang w:val="fr-FR"/>
        </w:rPr>
        <w:t>aigne</w:t>
      </w:r>
    </w:p>
    <w:p w14:paraId="3AAC0C96" w14:textId="77777777" w:rsidR="002B10C3" w:rsidRPr="00202448" w:rsidRDefault="002B10C3" w:rsidP="002B10C3">
      <w:pPr>
        <w:ind w:left="720"/>
        <w:rPr>
          <w:rFonts w:cs="Open Sans"/>
        </w:rPr>
      </w:pPr>
      <w:r w:rsidRPr="00202448">
        <w:rPr>
          <w:rFonts w:cs="Open Sans"/>
        </w:rPr>
        <w:t>Centro Servizi Promozionali per le Imprese</w:t>
      </w:r>
    </w:p>
    <w:p w14:paraId="756BB5DF" w14:textId="77777777" w:rsidR="002B10C3" w:rsidRPr="00202448" w:rsidRDefault="002B10C3" w:rsidP="002B10C3">
      <w:pPr>
        <w:ind w:left="720"/>
        <w:rPr>
          <w:rFonts w:cs="Open Sans"/>
        </w:rPr>
      </w:pPr>
      <w:r w:rsidRPr="00202448">
        <w:rPr>
          <w:rFonts w:cs="Open Sans"/>
        </w:rPr>
        <w:t>viale Armando Diaz, 221 – 09126 Cagliari, Italia</w:t>
      </w:r>
    </w:p>
    <w:p w14:paraId="402D34FB" w14:textId="77777777" w:rsidR="002B10C3" w:rsidRPr="00202448" w:rsidRDefault="002B10C3" w:rsidP="002B10C3">
      <w:pPr>
        <w:ind w:left="720"/>
        <w:rPr>
          <w:rFonts w:cs="Open Sans"/>
        </w:rPr>
      </w:pPr>
      <w:r w:rsidRPr="00202448">
        <w:rPr>
          <w:rFonts w:cs="Open Sans"/>
        </w:rPr>
        <w:t>Referente: Maria Giuseppina Scorrano</w:t>
      </w:r>
    </w:p>
    <w:p w14:paraId="21565C86" w14:textId="77777777" w:rsidR="002B10C3" w:rsidRPr="00202448" w:rsidRDefault="002B10C3" w:rsidP="002B10C3">
      <w:pPr>
        <w:ind w:firstLine="720"/>
        <w:rPr>
          <w:rFonts w:cs="Open Sans"/>
          <w:lang w:val="en-US"/>
        </w:rPr>
      </w:pPr>
      <w:r w:rsidRPr="00202448">
        <w:rPr>
          <w:rFonts w:cs="Open Sans"/>
          <w:lang w:val="en-US"/>
        </w:rPr>
        <w:t xml:space="preserve">Email/Pec: </w:t>
      </w:r>
      <w:hyperlink r:id="rId14" w:history="1">
        <w:r w:rsidRPr="00202448">
          <w:rPr>
            <w:rStyle w:val="Collegamentoipertestuale"/>
            <w:rFonts w:cs="Open Sans"/>
            <w:lang w:val="en-US"/>
          </w:rPr>
          <w:t>amministrazione@pec.csimprese.it</w:t>
        </w:r>
      </w:hyperlink>
    </w:p>
    <w:p w14:paraId="7BF74B7F" w14:textId="57E77B4D" w:rsidR="000E54E9" w:rsidRPr="00202448" w:rsidRDefault="000E54E9" w:rsidP="000E54E9">
      <w:pPr>
        <w:spacing w:before="120" w:after="120"/>
        <w:rPr>
          <w:rFonts w:cs="Open Sans"/>
          <w:u w:val="single"/>
          <w:lang w:val="fr-FR"/>
        </w:rPr>
      </w:pPr>
      <w:r w:rsidRPr="00202448">
        <w:rPr>
          <w:rFonts w:cs="Open Sans"/>
          <w:u w:val="single"/>
          <w:lang w:val="fr-FR"/>
        </w:rPr>
        <w:t>Liguri</w:t>
      </w:r>
      <w:r w:rsidR="00EB7998" w:rsidRPr="00202448">
        <w:rPr>
          <w:rFonts w:cs="Open Sans"/>
          <w:u w:val="single"/>
          <w:lang w:val="fr-FR"/>
        </w:rPr>
        <w:t>e</w:t>
      </w:r>
    </w:p>
    <w:p w14:paraId="7CCBE057" w14:textId="77777777" w:rsidR="002B10C3" w:rsidRPr="00202448" w:rsidRDefault="002B10C3" w:rsidP="002B10C3">
      <w:pPr>
        <w:ind w:left="720"/>
        <w:rPr>
          <w:rFonts w:cs="Open Sans"/>
        </w:rPr>
      </w:pPr>
      <w:r w:rsidRPr="00202448">
        <w:rPr>
          <w:rFonts w:cs="Open Sans"/>
        </w:rPr>
        <w:t>Centro di Sperimentazione e Assistenza Agricola</w:t>
      </w:r>
    </w:p>
    <w:p w14:paraId="346A726D" w14:textId="77777777" w:rsidR="002B10C3" w:rsidRPr="00202448" w:rsidRDefault="002B10C3" w:rsidP="002B10C3">
      <w:pPr>
        <w:ind w:left="720"/>
        <w:rPr>
          <w:rFonts w:cs="Open Sans"/>
        </w:rPr>
      </w:pPr>
      <w:r w:rsidRPr="00202448">
        <w:rPr>
          <w:rFonts w:cs="Open Sans"/>
        </w:rPr>
        <w:t xml:space="preserve">Via </w:t>
      </w:r>
      <w:proofErr w:type="spellStart"/>
      <w:r w:rsidRPr="00202448">
        <w:rPr>
          <w:rFonts w:cs="Open Sans"/>
        </w:rPr>
        <w:t>Quarda</w:t>
      </w:r>
      <w:proofErr w:type="spellEnd"/>
      <w:r w:rsidRPr="00202448">
        <w:rPr>
          <w:rFonts w:cs="Open Sans"/>
        </w:rPr>
        <w:t xml:space="preserve"> Superiore, 16 – 17100 Savona, Italia</w:t>
      </w:r>
    </w:p>
    <w:p w14:paraId="72B48D25" w14:textId="77777777" w:rsidR="002B10C3" w:rsidRPr="00202448" w:rsidRDefault="002B10C3" w:rsidP="002B10C3">
      <w:pPr>
        <w:ind w:left="720"/>
        <w:rPr>
          <w:rFonts w:cs="Open Sans"/>
        </w:rPr>
      </w:pPr>
      <w:r w:rsidRPr="00202448">
        <w:rPr>
          <w:rFonts w:cs="Open Sans"/>
        </w:rPr>
        <w:t>Referente: Giovanni Minuto</w:t>
      </w:r>
    </w:p>
    <w:p w14:paraId="73AB4CA8" w14:textId="4A4D80AE" w:rsidR="000E54E9" w:rsidRDefault="002B10C3" w:rsidP="002B10C3">
      <w:pPr>
        <w:ind w:left="720"/>
        <w:rPr>
          <w:rFonts w:cs="Open Sans"/>
          <w:lang w:val="en-US"/>
        </w:rPr>
      </w:pPr>
      <w:r w:rsidRPr="00202448">
        <w:rPr>
          <w:rFonts w:cs="Open Sans"/>
          <w:lang w:val="en-US"/>
        </w:rPr>
        <w:t xml:space="preserve">Email/Pec: </w:t>
      </w:r>
      <w:hyperlink r:id="rId15" w:history="1">
        <w:r w:rsidR="004B3636" w:rsidRPr="00CB2836">
          <w:rPr>
            <w:rStyle w:val="Collegamentoipertestuale"/>
            <w:rFonts w:cs="Open Sans"/>
            <w:lang w:val="en-US"/>
          </w:rPr>
          <w:t>cersaa.amministrazione@pcert.postecert.it</w:t>
        </w:r>
      </w:hyperlink>
    </w:p>
    <w:p w14:paraId="07A298C4" w14:textId="77777777" w:rsidR="004B3636" w:rsidRPr="00202448" w:rsidRDefault="004B3636" w:rsidP="002B10C3">
      <w:pPr>
        <w:ind w:left="720"/>
        <w:rPr>
          <w:rFonts w:cs="Open Sans"/>
          <w:lang w:val="en-US"/>
        </w:rPr>
      </w:pPr>
    </w:p>
    <w:p w14:paraId="0DA8C497" w14:textId="528FE749" w:rsidR="000E54E9" w:rsidRPr="00202448" w:rsidRDefault="000E54E9" w:rsidP="000E54E9">
      <w:pPr>
        <w:spacing w:before="120" w:after="120"/>
        <w:rPr>
          <w:rFonts w:cs="Open Sans"/>
          <w:u w:val="single"/>
          <w:lang w:val="fr-FR"/>
        </w:rPr>
      </w:pPr>
      <w:r w:rsidRPr="00202448">
        <w:rPr>
          <w:rFonts w:cs="Open Sans"/>
          <w:u w:val="single"/>
          <w:lang w:val="fr-FR"/>
        </w:rPr>
        <w:t>Toscan</w:t>
      </w:r>
      <w:r w:rsidR="00EB7998" w:rsidRPr="00202448">
        <w:rPr>
          <w:rFonts w:cs="Open Sans"/>
          <w:u w:val="single"/>
          <w:lang w:val="fr-FR"/>
        </w:rPr>
        <w:t>e</w:t>
      </w:r>
    </w:p>
    <w:p w14:paraId="20DC1205" w14:textId="77777777" w:rsidR="002B10C3" w:rsidRPr="00202448" w:rsidRDefault="002B10C3" w:rsidP="002B10C3">
      <w:pPr>
        <w:ind w:left="720"/>
        <w:rPr>
          <w:rFonts w:cs="Open Sans"/>
        </w:rPr>
      </w:pPr>
      <w:r w:rsidRPr="00202448">
        <w:rPr>
          <w:rFonts w:cs="Open Sans"/>
        </w:rPr>
        <w:lastRenderedPageBreak/>
        <w:t>Scuola Superiore di Studi Universitari e di Perfezionamento Sant’Anna – Istituto di Biorobotica</w:t>
      </w:r>
    </w:p>
    <w:p w14:paraId="35AC0D54" w14:textId="77777777" w:rsidR="002B10C3" w:rsidRPr="00202448" w:rsidRDefault="002B10C3" w:rsidP="002B10C3">
      <w:pPr>
        <w:ind w:left="720"/>
        <w:rPr>
          <w:rFonts w:cs="Open Sans"/>
        </w:rPr>
      </w:pPr>
      <w:r w:rsidRPr="00202448">
        <w:rPr>
          <w:rFonts w:cs="Open Sans"/>
        </w:rPr>
        <w:t>Piazza Martiri della Libertà, 33 – 56127 Pontedera (PI), Italia</w:t>
      </w:r>
    </w:p>
    <w:p w14:paraId="24881C3F" w14:textId="77777777" w:rsidR="002B10C3" w:rsidRPr="00202448" w:rsidRDefault="002B10C3" w:rsidP="002B10C3">
      <w:pPr>
        <w:ind w:left="720"/>
        <w:rPr>
          <w:rFonts w:cs="Open Sans"/>
        </w:rPr>
      </w:pPr>
      <w:r w:rsidRPr="00202448">
        <w:rPr>
          <w:rFonts w:cs="Open Sans"/>
        </w:rPr>
        <w:t>Persona di riferimento (e-mail): Maria Concetta Nisticò</w:t>
      </w:r>
    </w:p>
    <w:p w14:paraId="167161FA" w14:textId="4B07D175" w:rsidR="00EB7998" w:rsidRPr="00202448" w:rsidRDefault="002B10C3" w:rsidP="002B10C3">
      <w:pPr>
        <w:ind w:left="720"/>
        <w:rPr>
          <w:rFonts w:cs="Open Sans"/>
          <w:lang w:val="en-US"/>
        </w:rPr>
      </w:pPr>
      <w:r w:rsidRPr="00202448">
        <w:rPr>
          <w:rFonts w:cs="Open Sans"/>
          <w:lang w:val="en-US"/>
        </w:rPr>
        <w:t>Email/Pec: istituto-biorobotica@sssup.legalmail.it</w:t>
      </w:r>
    </w:p>
    <w:p w14:paraId="770AF4B8" w14:textId="32D0CB84" w:rsidR="000E54E9" w:rsidRPr="00202448" w:rsidRDefault="000E54E9" w:rsidP="000E54E9">
      <w:pPr>
        <w:spacing w:before="120" w:after="120"/>
        <w:rPr>
          <w:rFonts w:cs="Open Sans"/>
          <w:u w:val="single"/>
          <w:lang w:val="fr-FR"/>
        </w:rPr>
      </w:pPr>
      <w:r w:rsidRPr="00202448">
        <w:rPr>
          <w:rFonts w:cs="Open Sans"/>
          <w:u w:val="single"/>
          <w:lang w:val="fr-FR"/>
        </w:rPr>
        <w:t>Cors</w:t>
      </w:r>
      <w:r w:rsidR="00EB7998" w:rsidRPr="00202448">
        <w:rPr>
          <w:rFonts w:cs="Open Sans"/>
          <w:u w:val="single"/>
          <w:lang w:val="fr-FR"/>
        </w:rPr>
        <w:t>e</w:t>
      </w:r>
    </w:p>
    <w:p w14:paraId="66ABCA15" w14:textId="77777777" w:rsidR="002B10C3" w:rsidRPr="00202448" w:rsidRDefault="002B10C3" w:rsidP="002B10C3">
      <w:pPr>
        <w:ind w:left="720"/>
        <w:rPr>
          <w:rFonts w:cs="Open Sans"/>
          <w:lang w:val="fr-FR"/>
        </w:rPr>
      </w:pPr>
      <w:r w:rsidRPr="00202448">
        <w:rPr>
          <w:rFonts w:cs="Open Sans"/>
          <w:lang w:val="fr-FR"/>
        </w:rPr>
        <w:t>Chambre de Commerce et d'Industrie de la Haute-Corse</w:t>
      </w:r>
    </w:p>
    <w:p w14:paraId="677487FB" w14:textId="77777777" w:rsidR="002B10C3" w:rsidRPr="00202448" w:rsidRDefault="002B10C3" w:rsidP="002B10C3">
      <w:pPr>
        <w:ind w:left="720"/>
        <w:rPr>
          <w:rFonts w:cs="Open Sans"/>
          <w:lang w:val="fr-FR"/>
        </w:rPr>
      </w:pPr>
      <w:proofErr w:type="spellStart"/>
      <w:r w:rsidRPr="00202448">
        <w:rPr>
          <w:rFonts w:cs="Open Sans"/>
          <w:lang w:val="fr-FR"/>
        </w:rPr>
        <w:t>Hotel</w:t>
      </w:r>
      <w:proofErr w:type="spellEnd"/>
      <w:r w:rsidRPr="00202448">
        <w:rPr>
          <w:rFonts w:cs="Open Sans"/>
          <w:lang w:val="fr-FR"/>
        </w:rPr>
        <w:t xml:space="preserve"> Consulaire, Rue Nouveau Port – 20293 Bastia, France</w:t>
      </w:r>
    </w:p>
    <w:p w14:paraId="7C9187CA" w14:textId="77777777" w:rsidR="002B10C3" w:rsidRPr="00202448" w:rsidRDefault="002B10C3" w:rsidP="002B10C3">
      <w:pPr>
        <w:ind w:left="720"/>
        <w:rPr>
          <w:rFonts w:cs="Open Sans"/>
          <w:lang w:val="fr-FR"/>
        </w:rPr>
      </w:pPr>
      <w:r w:rsidRPr="00202448">
        <w:rPr>
          <w:rFonts w:cs="Open Sans"/>
          <w:lang w:val="fr-FR"/>
        </w:rPr>
        <w:t xml:space="preserve">Persona di </w:t>
      </w:r>
      <w:proofErr w:type="spellStart"/>
      <w:r w:rsidRPr="00202448">
        <w:rPr>
          <w:rFonts w:cs="Open Sans"/>
          <w:lang w:val="fr-FR"/>
        </w:rPr>
        <w:t>riferimento</w:t>
      </w:r>
      <w:proofErr w:type="spellEnd"/>
      <w:r w:rsidRPr="00202448">
        <w:rPr>
          <w:rFonts w:cs="Open Sans"/>
          <w:lang w:val="fr-FR"/>
        </w:rPr>
        <w:t xml:space="preserve"> (e-mail</w:t>
      </w:r>
      <w:proofErr w:type="gramStart"/>
      <w:r w:rsidRPr="00202448">
        <w:rPr>
          <w:rFonts w:cs="Open Sans"/>
          <w:lang w:val="fr-FR"/>
        </w:rPr>
        <w:t>):</w:t>
      </w:r>
      <w:proofErr w:type="gramEnd"/>
      <w:r w:rsidRPr="00202448">
        <w:rPr>
          <w:rFonts w:cs="Open Sans"/>
          <w:lang w:val="fr-FR"/>
        </w:rPr>
        <w:t xml:space="preserve"> Nicole </w:t>
      </w:r>
      <w:proofErr w:type="spellStart"/>
      <w:r w:rsidRPr="00202448">
        <w:rPr>
          <w:rFonts w:cs="Open Sans"/>
          <w:lang w:val="fr-FR"/>
        </w:rPr>
        <w:t>Spinosi</w:t>
      </w:r>
      <w:proofErr w:type="spellEnd"/>
    </w:p>
    <w:p w14:paraId="5A4F3142" w14:textId="5CB9EB3D" w:rsidR="000E54E9" w:rsidRPr="00202448" w:rsidRDefault="002B10C3" w:rsidP="002B10C3">
      <w:pPr>
        <w:ind w:left="720"/>
        <w:rPr>
          <w:rFonts w:cs="Open Sans"/>
          <w:lang w:val="fr-FR"/>
        </w:rPr>
      </w:pPr>
      <w:r w:rsidRPr="00202448">
        <w:rPr>
          <w:rFonts w:cs="Open Sans"/>
          <w:lang w:val="fr-FR"/>
        </w:rPr>
        <w:t>Email/</w:t>
      </w:r>
      <w:proofErr w:type="gramStart"/>
      <w:r w:rsidRPr="00202448">
        <w:rPr>
          <w:rFonts w:cs="Open Sans"/>
          <w:lang w:val="fr-FR"/>
        </w:rPr>
        <w:t>Pec:</w:t>
      </w:r>
      <w:proofErr w:type="gramEnd"/>
      <w:r w:rsidRPr="00202448">
        <w:rPr>
          <w:rFonts w:cs="Open Sans"/>
          <w:lang w:val="fr-FR"/>
        </w:rPr>
        <w:t xml:space="preserve"> N.SPINOSI@ccihc.fr </w:t>
      </w:r>
    </w:p>
    <w:p w14:paraId="2B219801" w14:textId="77777777" w:rsidR="000E54E9" w:rsidRPr="00202448" w:rsidRDefault="000E54E9" w:rsidP="00EB7998">
      <w:pPr>
        <w:spacing w:before="120" w:after="120"/>
        <w:rPr>
          <w:rFonts w:cs="Open Sans"/>
          <w:u w:val="single"/>
          <w:lang w:val="fr-FR"/>
        </w:rPr>
      </w:pPr>
      <w:r w:rsidRPr="00202448">
        <w:rPr>
          <w:rFonts w:cs="Open Sans"/>
          <w:u w:val="single"/>
          <w:lang w:val="fr-FR"/>
        </w:rPr>
        <w:t>Département du Var</w:t>
      </w:r>
    </w:p>
    <w:p w14:paraId="10C4BBC5" w14:textId="77777777" w:rsidR="002B10C3" w:rsidRPr="00202448" w:rsidRDefault="002B10C3" w:rsidP="002B10C3">
      <w:pPr>
        <w:ind w:left="720"/>
        <w:rPr>
          <w:rFonts w:cs="Open Sans"/>
          <w:lang w:val="fr-FR"/>
        </w:rPr>
      </w:pPr>
      <w:r w:rsidRPr="00202448">
        <w:rPr>
          <w:rFonts w:cs="Open Sans"/>
          <w:lang w:val="fr-FR"/>
        </w:rPr>
        <w:t>Chambre de Commerce et d’Industrie du Var</w:t>
      </w:r>
    </w:p>
    <w:p w14:paraId="66642F29" w14:textId="77777777" w:rsidR="002B10C3" w:rsidRPr="00202448" w:rsidRDefault="002B10C3" w:rsidP="002B10C3">
      <w:pPr>
        <w:ind w:left="720"/>
        <w:rPr>
          <w:rFonts w:cs="Open Sans"/>
          <w:lang w:val="fr-FR"/>
        </w:rPr>
      </w:pPr>
      <w:r w:rsidRPr="00202448">
        <w:rPr>
          <w:rFonts w:cs="Open Sans"/>
          <w:lang w:val="fr-FR"/>
        </w:rPr>
        <w:t>Boulevard Maréchal Leclerc, 236 – 83097 Toulon, France</w:t>
      </w:r>
    </w:p>
    <w:p w14:paraId="2C721362" w14:textId="77777777" w:rsidR="002B10C3" w:rsidRPr="00202448" w:rsidRDefault="002B10C3" w:rsidP="002B10C3">
      <w:pPr>
        <w:ind w:left="720"/>
        <w:rPr>
          <w:rFonts w:cs="Open Sans"/>
          <w:lang w:val="fr-FR"/>
        </w:rPr>
      </w:pPr>
      <w:r w:rsidRPr="00202448">
        <w:rPr>
          <w:rFonts w:cs="Open Sans"/>
          <w:lang w:val="fr-FR"/>
        </w:rPr>
        <w:t xml:space="preserve">Persona di </w:t>
      </w:r>
      <w:proofErr w:type="spellStart"/>
      <w:r w:rsidRPr="00202448">
        <w:rPr>
          <w:rFonts w:cs="Open Sans"/>
          <w:lang w:val="fr-FR"/>
        </w:rPr>
        <w:t>riferimento</w:t>
      </w:r>
      <w:proofErr w:type="spellEnd"/>
      <w:r w:rsidRPr="00202448">
        <w:rPr>
          <w:rFonts w:cs="Open Sans"/>
          <w:lang w:val="fr-FR"/>
        </w:rPr>
        <w:t xml:space="preserve"> (e-mail</w:t>
      </w:r>
      <w:proofErr w:type="gramStart"/>
      <w:r w:rsidRPr="00202448">
        <w:rPr>
          <w:rFonts w:cs="Open Sans"/>
          <w:lang w:val="fr-FR"/>
        </w:rPr>
        <w:t>):</w:t>
      </w:r>
      <w:proofErr w:type="gramEnd"/>
      <w:r w:rsidRPr="00202448">
        <w:rPr>
          <w:rFonts w:cs="Open Sans"/>
          <w:lang w:val="fr-FR"/>
        </w:rPr>
        <w:t xml:space="preserve"> Marion </w:t>
      </w:r>
      <w:proofErr w:type="spellStart"/>
      <w:r w:rsidRPr="00202448">
        <w:rPr>
          <w:rFonts w:cs="Open Sans"/>
          <w:lang w:val="fr-FR"/>
        </w:rPr>
        <w:t>Tourniaire</w:t>
      </w:r>
      <w:proofErr w:type="spellEnd"/>
    </w:p>
    <w:p w14:paraId="7811218D" w14:textId="15E9EF4E" w:rsidR="002B10C3" w:rsidRPr="002B10C3" w:rsidRDefault="002B10C3" w:rsidP="002B10C3">
      <w:pPr>
        <w:ind w:left="720"/>
        <w:rPr>
          <w:lang w:val="fr-FR"/>
        </w:rPr>
      </w:pPr>
      <w:r w:rsidRPr="00202448">
        <w:rPr>
          <w:rFonts w:cs="Open Sans"/>
          <w:lang w:val="fr-FR"/>
        </w:rPr>
        <w:t>Email/</w:t>
      </w:r>
      <w:proofErr w:type="gramStart"/>
      <w:r w:rsidRPr="00202448">
        <w:rPr>
          <w:rFonts w:cs="Open Sans"/>
          <w:lang w:val="fr-FR"/>
        </w:rPr>
        <w:t>Pec:</w:t>
      </w:r>
      <w:proofErr w:type="gramEnd"/>
      <w:r w:rsidRPr="00202448">
        <w:rPr>
          <w:rFonts w:cs="Open Sans"/>
          <w:lang w:val="fr-FR"/>
        </w:rPr>
        <w:t xml:space="preserve"> marion.tourniaire@var.cci.fr</w:t>
      </w:r>
    </w:p>
    <w:p w14:paraId="60F7805F" w14:textId="77777777" w:rsidR="000E54E9" w:rsidRPr="00EB7998" w:rsidRDefault="000E54E9" w:rsidP="000E54E9">
      <w:pPr>
        <w:spacing w:before="120" w:after="120"/>
        <w:rPr>
          <w:rFonts w:cs="Open Sans"/>
          <w:lang w:val="fr-FR"/>
        </w:rPr>
      </w:pPr>
    </w:p>
    <w:sectPr w:rsidR="000E54E9" w:rsidRPr="00EB7998" w:rsidSect="004B3636">
      <w:footerReference w:type="default" r:id="rId16"/>
      <w:pgSz w:w="11910" w:h="16840"/>
      <w:pgMar w:top="540" w:right="1020" w:bottom="280" w:left="874"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6C31" w14:textId="77777777" w:rsidR="00F95274" w:rsidRDefault="00F95274" w:rsidP="001C4456">
      <w:pPr>
        <w:spacing w:after="0"/>
      </w:pPr>
      <w:r>
        <w:separator/>
      </w:r>
    </w:p>
  </w:endnote>
  <w:endnote w:type="continuationSeparator" w:id="0">
    <w:p w14:paraId="1BD7745E" w14:textId="77777777" w:rsidR="00F95274" w:rsidRDefault="00F95274" w:rsidP="001C4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Montserrat"/>
    <w:panose1 w:val="00000500000000000000"/>
    <w:charset w:val="4D"/>
    <w:family w:val="auto"/>
    <w:notTrueType/>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50624890"/>
      <w:docPartObj>
        <w:docPartGallery w:val="Page Numbers (Bottom of Page)"/>
        <w:docPartUnique/>
      </w:docPartObj>
    </w:sdtPr>
    <w:sdtEndPr>
      <w:rPr>
        <w:rStyle w:val="Numeropagina"/>
      </w:rPr>
    </w:sdtEndPr>
    <w:sdtContent>
      <w:p w14:paraId="491BFE12" w14:textId="77777777" w:rsidR="006664C3" w:rsidRDefault="006664C3"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1EEC4E4" w14:textId="77777777" w:rsidR="006664C3" w:rsidRDefault="006664C3" w:rsidP="00E324F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33913222"/>
      <w:docPartObj>
        <w:docPartGallery w:val="Page Numbers (Bottom of Page)"/>
        <w:docPartUnique/>
      </w:docPartObj>
    </w:sdtPr>
    <w:sdtEndPr>
      <w:rPr>
        <w:rStyle w:val="Numeropagina"/>
      </w:rPr>
    </w:sdtEndPr>
    <w:sdtContent>
      <w:p w14:paraId="4D85E3B7" w14:textId="77777777" w:rsidR="006664C3" w:rsidRDefault="006664C3"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47DBB00" w14:textId="77777777" w:rsidR="006664C3" w:rsidRDefault="006664C3" w:rsidP="00E324FF">
    <w:pPr>
      <w:pStyle w:val="Pidipagina"/>
      <w:ind w:right="360"/>
    </w:pPr>
    <w:r>
      <w:rPr>
        <w:noProof/>
      </w:rPr>
      <w:drawing>
        <wp:anchor distT="0" distB="0" distL="114300" distR="114300" simplePos="0" relativeHeight="251658240" behindDoc="1" locked="0" layoutInCell="1" allowOverlap="1" wp14:anchorId="1622118A" wp14:editId="4102B433">
          <wp:simplePos x="0" y="0"/>
          <wp:positionH relativeFrom="column">
            <wp:posOffset>-536344</wp:posOffset>
          </wp:positionH>
          <wp:positionV relativeFrom="paragraph">
            <wp:posOffset>170815</wp:posOffset>
          </wp:positionV>
          <wp:extent cx="7555467" cy="950894"/>
          <wp:effectExtent l="0" t="0" r="1270" b="1905"/>
          <wp:wrapNone/>
          <wp:docPr id="35" name="Immagine 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9232846"/>
      <w:docPartObj>
        <w:docPartGallery w:val="Page Numbers (Bottom of Page)"/>
        <w:docPartUnique/>
      </w:docPartObj>
    </w:sdtPr>
    <w:sdtEndPr>
      <w:rPr>
        <w:rStyle w:val="Numeropagina"/>
      </w:rPr>
    </w:sdtEndPr>
    <w:sdtContent>
      <w:p w14:paraId="0A740C04" w14:textId="77777777" w:rsidR="00F636D1" w:rsidRDefault="00F636D1"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0FDB1D9" w14:textId="77777777" w:rsidR="00F636D1" w:rsidRDefault="00F636D1" w:rsidP="00E324FF">
    <w:pPr>
      <w:pStyle w:val="Pidipagina"/>
      <w:ind w:right="360"/>
    </w:pPr>
    <w:r>
      <w:rPr>
        <w:noProof/>
      </w:rPr>
      <w:drawing>
        <wp:anchor distT="0" distB="0" distL="114300" distR="114300" simplePos="0" relativeHeight="251671552" behindDoc="1" locked="0" layoutInCell="1" allowOverlap="1" wp14:anchorId="3F9C94BE" wp14:editId="58D86803">
          <wp:simplePos x="0" y="0"/>
          <wp:positionH relativeFrom="column">
            <wp:posOffset>-575311</wp:posOffset>
          </wp:positionH>
          <wp:positionV relativeFrom="page">
            <wp:posOffset>9753648</wp:posOffset>
          </wp:positionV>
          <wp:extent cx="7595235" cy="955628"/>
          <wp:effectExtent l="0" t="0" r="0" b="0"/>
          <wp:wrapNone/>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9272" cy="9573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3BEC061" wp14:editId="17E717FE">
          <wp:simplePos x="0" y="0"/>
          <wp:positionH relativeFrom="column">
            <wp:posOffset>465455</wp:posOffset>
          </wp:positionH>
          <wp:positionV relativeFrom="paragraph">
            <wp:posOffset>3136900</wp:posOffset>
          </wp:positionV>
          <wp:extent cx="7555467" cy="950894"/>
          <wp:effectExtent l="0" t="0" r="6350" b="1905"/>
          <wp:wrapNone/>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17901B15" wp14:editId="0E6BA3C3">
          <wp:simplePos x="0" y="0"/>
          <wp:positionH relativeFrom="column">
            <wp:posOffset>465455</wp:posOffset>
          </wp:positionH>
          <wp:positionV relativeFrom="paragraph">
            <wp:posOffset>3136900</wp:posOffset>
          </wp:positionV>
          <wp:extent cx="7555467" cy="950894"/>
          <wp:effectExtent l="0" t="0" r="6350" b="1905"/>
          <wp:wrapNone/>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2762CFB" wp14:editId="1AA87B6B">
          <wp:simplePos x="0" y="0"/>
          <wp:positionH relativeFrom="column">
            <wp:posOffset>-254692</wp:posOffset>
          </wp:positionH>
          <wp:positionV relativeFrom="paragraph">
            <wp:posOffset>3331215</wp:posOffset>
          </wp:positionV>
          <wp:extent cx="11092872" cy="950595"/>
          <wp:effectExtent l="0" t="0" r="0" b="1905"/>
          <wp:wrapNone/>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92872" cy="950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09A57" w14:textId="77777777" w:rsidR="00F95274" w:rsidRDefault="00F95274" w:rsidP="001C4456">
      <w:pPr>
        <w:spacing w:after="0"/>
      </w:pPr>
      <w:r>
        <w:separator/>
      </w:r>
    </w:p>
  </w:footnote>
  <w:footnote w:type="continuationSeparator" w:id="0">
    <w:p w14:paraId="36BD61E5" w14:textId="77777777" w:rsidR="00F95274" w:rsidRDefault="00F95274" w:rsidP="001C44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AE9A" w14:textId="0E531EFD" w:rsidR="004B3636" w:rsidRDefault="004B3636" w:rsidP="004B3636">
    <w:pPr>
      <w:pStyle w:val="Intestazione"/>
      <w:ind w:hanging="851"/>
    </w:pPr>
    <w:r>
      <w:rPr>
        <w:noProof/>
      </w:rPr>
      <w:drawing>
        <wp:inline distT="0" distB="0" distL="0" distR="0" wp14:anchorId="25D88ACE" wp14:editId="1DBCE9F8">
          <wp:extent cx="7560000" cy="130861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308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3D8"/>
    <w:multiLevelType w:val="hybridMultilevel"/>
    <w:tmpl w:val="BA8C1476"/>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16724"/>
    <w:multiLevelType w:val="hybridMultilevel"/>
    <w:tmpl w:val="799E03CA"/>
    <w:lvl w:ilvl="0" w:tplc="17CA20E8">
      <w:start w:val="1"/>
      <w:numFmt w:val="bullet"/>
      <w:lvlText w:val="-"/>
      <w:lvlJc w:val="left"/>
      <w:pPr>
        <w:ind w:left="720" w:hanging="360"/>
      </w:pPr>
      <w:rPr>
        <w:rFonts w:ascii="Open Sans" w:eastAsia="Calibri Light" w:hAnsi="Open Sans" w:cs="Open Sans" w:hint="default"/>
      </w:rPr>
    </w:lvl>
    <w:lvl w:ilvl="1" w:tplc="BFE08210">
      <w:start w:val="1"/>
      <w:numFmt w:val="bullet"/>
      <w:lvlText w:val=""/>
      <w:lvlJc w:val="left"/>
      <w:pPr>
        <w:ind w:left="1440" w:hanging="360"/>
      </w:pPr>
      <w:rPr>
        <w:rFonts w:ascii="Symbol" w:hAnsi="Symbol"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E390D"/>
    <w:multiLevelType w:val="hybridMultilevel"/>
    <w:tmpl w:val="CDDE6094"/>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23ECC"/>
    <w:multiLevelType w:val="hybridMultilevel"/>
    <w:tmpl w:val="6F22E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F5085"/>
    <w:multiLevelType w:val="hybridMultilevel"/>
    <w:tmpl w:val="6E0636C8"/>
    <w:lvl w:ilvl="0" w:tplc="17CA20E8">
      <w:start w:val="1"/>
      <w:numFmt w:val="bullet"/>
      <w:lvlText w:val="-"/>
      <w:lvlJc w:val="left"/>
      <w:pPr>
        <w:ind w:left="1080" w:hanging="360"/>
      </w:pPr>
      <w:rPr>
        <w:rFonts w:ascii="Open Sans" w:eastAsia="Calibri Light" w:hAnsi="Open Sans" w:cs="Open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9C4CC9"/>
    <w:multiLevelType w:val="hybridMultilevel"/>
    <w:tmpl w:val="EECA4F70"/>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3E21FE"/>
    <w:multiLevelType w:val="hybridMultilevel"/>
    <w:tmpl w:val="BD6EB1AC"/>
    <w:lvl w:ilvl="0" w:tplc="17CA20E8">
      <w:start w:val="1"/>
      <w:numFmt w:val="bullet"/>
      <w:lvlText w:val="-"/>
      <w:lvlJc w:val="left"/>
      <w:pPr>
        <w:ind w:left="360" w:hanging="360"/>
      </w:pPr>
      <w:rPr>
        <w:rFonts w:ascii="Open Sans" w:eastAsia="Calibri Light" w:hAnsi="Open Sans" w:cs="Open Sans" w:hint="default"/>
      </w:rPr>
    </w:lvl>
    <w:lvl w:ilvl="1" w:tplc="BFE08210">
      <w:start w:val="1"/>
      <w:numFmt w:val="bullet"/>
      <w:lvlText w:val=""/>
      <w:lvlJc w:val="left"/>
      <w:pPr>
        <w:ind w:left="1080" w:hanging="360"/>
      </w:pPr>
      <w:rPr>
        <w:rFonts w:ascii="Symbol" w:hAnsi="Symbol"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B1E15EA"/>
    <w:multiLevelType w:val="hybridMultilevel"/>
    <w:tmpl w:val="C5283F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B65CC2"/>
    <w:multiLevelType w:val="hybridMultilevel"/>
    <w:tmpl w:val="ACD29E64"/>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AE1067"/>
    <w:multiLevelType w:val="hybridMultilevel"/>
    <w:tmpl w:val="EF8EB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D5369B"/>
    <w:multiLevelType w:val="hybridMultilevel"/>
    <w:tmpl w:val="1BAC1A0C"/>
    <w:lvl w:ilvl="0" w:tplc="4AFE6FDA">
      <w:numFmt w:val="bullet"/>
      <w:lvlText w:val="-"/>
      <w:lvlJc w:val="left"/>
      <w:pPr>
        <w:ind w:left="720" w:hanging="360"/>
      </w:pPr>
      <w:rPr>
        <w:rFonts w:ascii="Calibri" w:eastAsiaTheme="minorHAnsi" w:hAnsi="Calibri" w:cs="Calibri" w:hint="default"/>
      </w:rPr>
    </w:lvl>
    <w:lvl w:ilvl="1" w:tplc="A3209406">
      <w:numFmt w:val="bullet"/>
      <w:lvlText w:val="•"/>
      <w:lvlJc w:val="left"/>
      <w:pPr>
        <w:ind w:left="1790" w:hanging="710"/>
      </w:pPr>
      <w:rPr>
        <w:rFonts w:ascii="Calibri" w:eastAsiaTheme="minorHAnsi" w:hAnsi="Calibri" w:cs="Calibri"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16282B"/>
    <w:multiLevelType w:val="hybridMultilevel"/>
    <w:tmpl w:val="8AC0608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BC6E99"/>
    <w:multiLevelType w:val="hybridMultilevel"/>
    <w:tmpl w:val="835844C6"/>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0945F5E"/>
    <w:multiLevelType w:val="hybridMultilevel"/>
    <w:tmpl w:val="ADB6A82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AE6C18"/>
    <w:multiLevelType w:val="hybridMultilevel"/>
    <w:tmpl w:val="A576385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65B6F"/>
    <w:multiLevelType w:val="hybridMultilevel"/>
    <w:tmpl w:val="F19EEF5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08563F"/>
    <w:multiLevelType w:val="hybridMultilevel"/>
    <w:tmpl w:val="FB98B4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5A32B8"/>
    <w:multiLevelType w:val="hybridMultilevel"/>
    <w:tmpl w:val="EEE08D3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984C13"/>
    <w:multiLevelType w:val="hybridMultilevel"/>
    <w:tmpl w:val="7792A26C"/>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F654DF"/>
    <w:multiLevelType w:val="hybridMultilevel"/>
    <w:tmpl w:val="5606BF8C"/>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72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9374F"/>
    <w:multiLevelType w:val="hybridMultilevel"/>
    <w:tmpl w:val="2476337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56CF8"/>
    <w:multiLevelType w:val="hybridMultilevel"/>
    <w:tmpl w:val="6D06EE14"/>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B434A9"/>
    <w:multiLevelType w:val="hybridMultilevel"/>
    <w:tmpl w:val="D146F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E96DF7"/>
    <w:multiLevelType w:val="hybridMultilevel"/>
    <w:tmpl w:val="1B9C7442"/>
    <w:lvl w:ilvl="0" w:tplc="4E78B46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41230D"/>
    <w:multiLevelType w:val="multilevel"/>
    <w:tmpl w:val="E68AD8A0"/>
    <w:lvl w:ilvl="0">
      <w:start w:val="1"/>
      <w:numFmt w:val="decimal"/>
      <w:lvlText w:val="%1."/>
      <w:lvlJc w:val="left"/>
      <w:pPr>
        <w:ind w:left="1420" w:hanging="360"/>
      </w:pPr>
      <w:rPr>
        <w:rFonts w:hint="default"/>
      </w:rPr>
    </w:lvl>
    <w:lvl w:ilvl="1">
      <w:start w:val="1"/>
      <w:numFmt w:val="decimal"/>
      <w:isLgl/>
      <w:lvlText w:val="%1.%2"/>
      <w:lvlJc w:val="left"/>
      <w:pPr>
        <w:ind w:left="142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860" w:hanging="1800"/>
      </w:pPr>
      <w:rPr>
        <w:rFonts w:hint="default"/>
      </w:rPr>
    </w:lvl>
  </w:abstractNum>
  <w:abstractNum w:abstractNumId="25" w15:restartNumberingAfterBreak="0">
    <w:nsid w:val="5F65610C"/>
    <w:multiLevelType w:val="hybridMultilevel"/>
    <w:tmpl w:val="B610F736"/>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B97E84"/>
    <w:multiLevelType w:val="hybridMultilevel"/>
    <w:tmpl w:val="C1CC6120"/>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C91657"/>
    <w:multiLevelType w:val="hybridMultilevel"/>
    <w:tmpl w:val="5B006EF4"/>
    <w:lvl w:ilvl="0" w:tplc="A5485A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3A088A"/>
    <w:multiLevelType w:val="hybridMultilevel"/>
    <w:tmpl w:val="9AAEA3F0"/>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9C6E6C"/>
    <w:multiLevelType w:val="hybridMultilevel"/>
    <w:tmpl w:val="E938C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BC68D6"/>
    <w:multiLevelType w:val="hybridMultilevel"/>
    <w:tmpl w:val="48BE035E"/>
    <w:lvl w:ilvl="0" w:tplc="A5485A8E">
      <w:numFmt w:val="bullet"/>
      <w:lvlText w:val="-"/>
      <w:lvlJc w:val="left"/>
      <w:pPr>
        <w:ind w:left="720" w:hanging="360"/>
      </w:pPr>
      <w:rPr>
        <w:rFonts w:ascii="Arial" w:eastAsia="Times New Roman" w:hAnsi="Arial" w:cs="Arial" w:hint="default"/>
      </w:rPr>
    </w:lvl>
    <w:lvl w:ilvl="1" w:tplc="17CA20E8">
      <w:start w:val="1"/>
      <w:numFmt w:val="bullet"/>
      <w:lvlText w:val="-"/>
      <w:lvlJc w:val="left"/>
      <w:pPr>
        <w:ind w:left="1440" w:hanging="360"/>
      </w:pPr>
      <w:rPr>
        <w:rFonts w:ascii="Open Sans" w:eastAsia="Calibri Light" w:hAnsi="Open Sans" w:cs="Open Sans"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5C3AEE"/>
    <w:multiLevelType w:val="hybridMultilevel"/>
    <w:tmpl w:val="56044E3A"/>
    <w:lvl w:ilvl="0" w:tplc="17CA20E8">
      <w:start w:val="1"/>
      <w:numFmt w:val="bullet"/>
      <w:lvlText w:val="-"/>
      <w:lvlJc w:val="left"/>
      <w:pPr>
        <w:ind w:left="720" w:hanging="360"/>
      </w:pPr>
      <w:rPr>
        <w:rFonts w:ascii="Open Sans" w:eastAsia="Calibri Light" w:hAnsi="Open Sans" w:cs="Open San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1C348D"/>
    <w:multiLevelType w:val="hybridMultilevel"/>
    <w:tmpl w:val="62C0E14E"/>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D47AE"/>
    <w:multiLevelType w:val="hybridMultilevel"/>
    <w:tmpl w:val="21D8ACBE"/>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C91524"/>
    <w:multiLevelType w:val="hybridMultilevel"/>
    <w:tmpl w:val="9392E57C"/>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8"/>
  </w:num>
  <w:num w:numId="4">
    <w:abstractNumId w:val="32"/>
  </w:num>
  <w:num w:numId="5">
    <w:abstractNumId w:val="26"/>
  </w:num>
  <w:num w:numId="6">
    <w:abstractNumId w:val="2"/>
  </w:num>
  <w:num w:numId="7">
    <w:abstractNumId w:val="11"/>
  </w:num>
  <w:num w:numId="8">
    <w:abstractNumId w:val="15"/>
  </w:num>
  <w:num w:numId="9">
    <w:abstractNumId w:val="10"/>
  </w:num>
  <w:num w:numId="10">
    <w:abstractNumId w:val="29"/>
  </w:num>
  <w:num w:numId="11">
    <w:abstractNumId w:val="9"/>
  </w:num>
  <w:num w:numId="12">
    <w:abstractNumId w:val="22"/>
  </w:num>
  <w:num w:numId="13">
    <w:abstractNumId w:val="5"/>
  </w:num>
  <w:num w:numId="14">
    <w:abstractNumId w:val="23"/>
  </w:num>
  <w:num w:numId="15">
    <w:abstractNumId w:val="1"/>
  </w:num>
  <w:num w:numId="16">
    <w:abstractNumId w:val="16"/>
  </w:num>
  <w:num w:numId="17">
    <w:abstractNumId w:val="20"/>
  </w:num>
  <w:num w:numId="18">
    <w:abstractNumId w:val="25"/>
  </w:num>
  <w:num w:numId="19">
    <w:abstractNumId w:val="33"/>
  </w:num>
  <w:num w:numId="20">
    <w:abstractNumId w:val="7"/>
  </w:num>
  <w:num w:numId="21">
    <w:abstractNumId w:val="17"/>
  </w:num>
  <w:num w:numId="22">
    <w:abstractNumId w:val="19"/>
  </w:num>
  <w:num w:numId="23">
    <w:abstractNumId w:val="8"/>
  </w:num>
  <w:num w:numId="24">
    <w:abstractNumId w:val="3"/>
  </w:num>
  <w:num w:numId="25">
    <w:abstractNumId w:val="28"/>
  </w:num>
  <w:num w:numId="26">
    <w:abstractNumId w:val="34"/>
  </w:num>
  <w:num w:numId="27">
    <w:abstractNumId w:val="4"/>
  </w:num>
  <w:num w:numId="28">
    <w:abstractNumId w:val="6"/>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1"/>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2"/>
    <w:rsid w:val="00021C71"/>
    <w:rsid w:val="00025763"/>
    <w:rsid w:val="0005281A"/>
    <w:rsid w:val="000539CF"/>
    <w:rsid w:val="00061652"/>
    <w:rsid w:val="00062D35"/>
    <w:rsid w:val="00065966"/>
    <w:rsid w:val="00080AAC"/>
    <w:rsid w:val="00083A88"/>
    <w:rsid w:val="00091D72"/>
    <w:rsid w:val="00094382"/>
    <w:rsid w:val="000C1A74"/>
    <w:rsid w:val="000D0CF7"/>
    <w:rsid w:val="000D5A72"/>
    <w:rsid w:val="000D732A"/>
    <w:rsid w:val="000E54E9"/>
    <w:rsid w:val="000E7B6D"/>
    <w:rsid w:val="00105EAF"/>
    <w:rsid w:val="00110D5A"/>
    <w:rsid w:val="00113E37"/>
    <w:rsid w:val="0015478B"/>
    <w:rsid w:val="00154AB6"/>
    <w:rsid w:val="00172F66"/>
    <w:rsid w:val="0017771F"/>
    <w:rsid w:val="00185E45"/>
    <w:rsid w:val="00187AFF"/>
    <w:rsid w:val="001936CD"/>
    <w:rsid w:val="001952A4"/>
    <w:rsid w:val="001A0264"/>
    <w:rsid w:val="001A13DE"/>
    <w:rsid w:val="001A797B"/>
    <w:rsid w:val="001B5632"/>
    <w:rsid w:val="001C3F72"/>
    <w:rsid w:val="001C4456"/>
    <w:rsid w:val="001E47EF"/>
    <w:rsid w:val="001F4B19"/>
    <w:rsid w:val="001F4D6B"/>
    <w:rsid w:val="00202448"/>
    <w:rsid w:val="00202F94"/>
    <w:rsid w:val="00212872"/>
    <w:rsid w:val="00235074"/>
    <w:rsid w:val="0023723C"/>
    <w:rsid w:val="0024006B"/>
    <w:rsid w:val="00247D9C"/>
    <w:rsid w:val="00250E7B"/>
    <w:rsid w:val="002553A6"/>
    <w:rsid w:val="00263E5D"/>
    <w:rsid w:val="002647CB"/>
    <w:rsid w:val="00277644"/>
    <w:rsid w:val="00283E1D"/>
    <w:rsid w:val="00284473"/>
    <w:rsid w:val="00285BF9"/>
    <w:rsid w:val="00290899"/>
    <w:rsid w:val="002A623F"/>
    <w:rsid w:val="002A68FB"/>
    <w:rsid w:val="002B10C3"/>
    <w:rsid w:val="002B4059"/>
    <w:rsid w:val="002B5E23"/>
    <w:rsid w:val="002D027F"/>
    <w:rsid w:val="002D0C1C"/>
    <w:rsid w:val="002D461A"/>
    <w:rsid w:val="002E282C"/>
    <w:rsid w:val="00307183"/>
    <w:rsid w:val="0031444E"/>
    <w:rsid w:val="00314720"/>
    <w:rsid w:val="00317DAD"/>
    <w:rsid w:val="00321FED"/>
    <w:rsid w:val="003252B6"/>
    <w:rsid w:val="003260D4"/>
    <w:rsid w:val="00347378"/>
    <w:rsid w:val="00350D70"/>
    <w:rsid w:val="00351176"/>
    <w:rsid w:val="00361505"/>
    <w:rsid w:val="00380ED4"/>
    <w:rsid w:val="003A5733"/>
    <w:rsid w:val="003A5EA5"/>
    <w:rsid w:val="003A62B9"/>
    <w:rsid w:val="003B0A28"/>
    <w:rsid w:val="003D2DE5"/>
    <w:rsid w:val="003E5250"/>
    <w:rsid w:val="003F6B45"/>
    <w:rsid w:val="00404A3D"/>
    <w:rsid w:val="00415C1C"/>
    <w:rsid w:val="0043177B"/>
    <w:rsid w:val="004335CA"/>
    <w:rsid w:val="00451601"/>
    <w:rsid w:val="00452957"/>
    <w:rsid w:val="00470DAA"/>
    <w:rsid w:val="00477A6F"/>
    <w:rsid w:val="00492214"/>
    <w:rsid w:val="004B3636"/>
    <w:rsid w:val="004B6080"/>
    <w:rsid w:val="004C7D72"/>
    <w:rsid w:val="004D3E14"/>
    <w:rsid w:val="004D795E"/>
    <w:rsid w:val="004F0053"/>
    <w:rsid w:val="004F284B"/>
    <w:rsid w:val="00504E6C"/>
    <w:rsid w:val="00507BB8"/>
    <w:rsid w:val="00522CE3"/>
    <w:rsid w:val="00533675"/>
    <w:rsid w:val="0055672B"/>
    <w:rsid w:val="00556D94"/>
    <w:rsid w:val="00557312"/>
    <w:rsid w:val="00561CB9"/>
    <w:rsid w:val="00570CFB"/>
    <w:rsid w:val="005770F5"/>
    <w:rsid w:val="00583349"/>
    <w:rsid w:val="005D7A1C"/>
    <w:rsid w:val="005E1441"/>
    <w:rsid w:val="005E3424"/>
    <w:rsid w:val="005F1F5E"/>
    <w:rsid w:val="005F366D"/>
    <w:rsid w:val="005F7000"/>
    <w:rsid w:val="00601DBA"/>
    <w:rsid w:val="00603099"/>
    <w:rsid w:val="00604664"/>
    <w:rsid w:val="00613DFD"/>
    <w:rsid w:val="006361EF"/>
    <w:rsid w:val="00643B3F"/>
    <w:rsid w:val="006478BA"/>
    <w:rsid w:val="006529A9"/>
    <w:rsid w:val="006551A3"/>
    <w:rsid w:val="006664C3"/>
    <w:rsid w:val="00667F3D"/>
    <w:rsid w:val="00676556"/>
    <w:rsid w:val="006770B0"/>
    <w:rsid w:val="0068454C"/>
    <w:rsid w:val="006873F8"/>
    <w:rsid w:val="00694561"/>
    <w:rsid w:val="006A27F5"/>
    <w:rsid w:val="006A463B"/>
    <w:rsid w:val="006B036E"/>
    <w:rsid w:val="006B1E5A"/>
    <w:rsid w:val="006E6BF1"/>
    <w:rsid w:val="006F437D"/>
    <w:rsid w:val="006F4F62"/>
    <w:rsid w:val="007078CA"/>
    <w:rsid w:val="0071364A"/>
    <w:rsid w:val="00724B37"/>
    <w:rsid w:val="007250C7"/>
    <w:rsid w:val="00743B6F"/>
    <w:rsid w:val="007504A6"/>
    <w:rsid w:val="00764965"/>
    <w:rsid w:val="007763B1"/>
    <w:rsid w:val="00786DE7"/>
    <w:rsid w:val="007A6CB3"/>
    <w:rsid w:val="007B4390"/>
    <w:rsid w:val="007B6D2E"/>
    <w:rsid w:val="007E47D6"/>
    <w:rsid w:val="007E5EF7"/>
    <w:rsid w:val="007F4BD3"/>
    <w:rsid w:val="00807CE5"/>
    <w:rsid w:val="00812FAE"/>
    <w:rsid w:val="00825B85"/>
    <w:rsid w:val="0082643A"/>
    <w:rsid w:val="0082747E"/>
    <w:rsid w:val="00833DE0"/>
    <w:rsid w:val="0083628B"/>
    <w:rsid w:val="00867CD5"/>
    <w:rsid w:val="0087373D"/>
    <w:rsid w:val="00876856"/>
    <w:rsid w:val="008B7763"/>
    <w:rsid w:val="008C63C1"/>
    <w:rsid w:val="008E1369"/>
    <w:rsid w:val="008F0E3E"/>
    <w:rsid w:val="008F1924"/>
    <w:rsid w:val="008F4377"/>
    <w:rsid w:val="008F6712"/>
    <w:rsid w:val="00902164"/>
    <w:rsid w:val="00902F74"/>
    <w:rsid w:val="0090405B"/>
    <w:rsid w:val="009225A2"/>
    <w:rsid w:val="0092419A"/>
    <w:rsid w:val="0092523A"/>
    <w:rsid w:val="009260A8"/>
    <w:rsid w:val="00933A57"/>
    <w:rsid w:val="0094208F"/>
    <w:rsid w:val="00946D33"/>
    <w:rsid w:val="009548BF"/>
    <w:rsid w:val="00955B5B"/>
    <w:rsid w:val="0095653E"/>
    <w:rsid w:val="009717F5"/>
    <w:rsid w:val="00974259"/>
    <w:rsid w:val="00981D5D"/>
    <w:rsid w:val="00995EA3"/>
    <w:rsid w:val="009966D4"/>
    <w:rsid w:val="009A0EE4"/>
    <w:rsid w:val="009A345C"/>
    <w:rsid w:val="009A3F7F"/>
    <w:rsid w:val="009C169B"/>
    <w:rsid w:val="009C30A1"/>
    <w:rsid w:val="009D3387"/>
    <w:rsid w:val="009D36AA"/>
    <w:rsid w:val="009E0CDB"/>
    <w:rsid w:val="009E219C"/>
    <w:rsid w:val="009E6EEB"/>
    <w:rsid w:val="009F5112"/>
    <w:rsid w:val="00A10666"/>
    <w:rsid w:val="00A32927"/>
    <w:rsid w:val="00A42944"/>
    <w:rsid w:val="00A52239"/>
    <w:rsid w:val="00A66940"/>
    <w:rsid w:val="00A8762C"/>
    <w:rsid w:val="00AA2F2B"/>
    <w:rsid w:val="00AC0B60"/>
    <w:rsid w:val="00AC1A3A"/>
    <w:rsid w:val="00AC2870"/>
    <w:rsid w:val="00AC61C6"/>
    <w:rsid w:val="00AF158C"/>
    <w:rsid w:val="00B07A10"/>
    <w:rsid w:val="00B144FD"/>
    <w:rsid w:val="00B17AC0"/>
    <w:rsid w:val="00B346BB"/>
    <w:rsid w:val="00B402E9"/>
    <w:rsid w:val="00B407BC"/>
    <w:rsid w:val="00B413DF"/>
    <w:rsid w:val="00B5025D"/>
    <w:rsid w:val="00B526B8"/>
    <w:rsid w:val="00B6789A"/>
    <w:rsid w:val="00B97D9A"/>
    <w:rsid w:val="00BA0699"/>
    <w:rsid w:val="00BA2E02"/>
    <w:rsid w:val="00BB4C98"/>
    <w:rsid w:val="00BC30BB"/>
    <w:rsid w:val="00BC53EC"/>
    <w:rsid w:val="00BC55C7"/>
    <w:rsid w:val="00BD0DE0"/>
    <w:rsid w:val="00BD2E9C"/>
    <w:rsid w:val="00BD6A73"/>
    <w:rsid w:val="00BE0B44"/>
    <w:rsid w:val="00BE1920"/>
    <w:rsid w:val="00BF0A69"/>
    <w:rsid w:val="00BF161F"/>
    <w:rsid w:val="00BF171B"/>
    <w:rsid w:val="00BF19C9"/>
    <w:rsid w:val="00C0128E"/>
    <w:rsid w:val="00C02642"/>
    <w:rsid w:val="00C043B3"/>
    <w:rsid w:val="00C05F8C"/>
    <w:rsid w:val="00C10095"/>
    <w:rsid w:val="00C11EFC"/>
    <w:rsid w:val="00C24202"/>
    <w:rsid w:val="00C308E0"/>
    <w:rsid w:val="00C47E9B"/>
    <w:rsid w:val="00C56C06"/>
    <w:rsid w:val="00C64E85"/>
    <w:rsid w:val="00C7090F"/>
    <w:rsid w:val="00C77193"/>
    <w:rsid w:val="00C77467"/>
    <w:rsid w:val="00C87989"/>
    <w:rsid w:val="00CA5008"/>
    <w:rsid w:val="00CC5C56"/>
    <w:rsid w:val="00CE752C"/>
    <w:rsid w:val="00CE7B2B"/>
    <w:rsid w:val="00CF0CC8"/>
    <w:rsid w:val="00D05EB2"/>
    <w:rsid w:val="00D06D85"/>
    <w:rsid w:val="00D12DAF"/>
    <w:rsid w:val="00D30B62"/>
    <w:rsid w:val="00D3440F"/>
    <w:rsid w:val="00D349C3"/>
    <w:rsid w:val="00D35E71"/>
    <w:rsid w:val="00D434BA"/>
    <w:rsid w:val="00D440BB"/>
    <w:rsid w:val="00D449A0"/>
    <w:rsid w:val="00D44CE3"/>
    <w:rsid w:val="00D47DAA"/>
    <w:rsid w:val="00D525F5"/>
    <w:rsid w:val="00D53369"/>
    <w:rsid w:val="00D67BFE"/>
    <w:rsid w:val="00D70DB1"/>
    <w:rsid w:val="00D868BF"/>
    <w:rsid w:val="00D90DE0"/>
    <w:rsid w:val="00D919C8"/>
    <w:rsid w:val="00DA4D85"/>
    <w:rsid w:val="00DA557C"/>
    <w:rsid w:val="00DA5FF5"/>
    <w:rsid w:val="00DA6002"/>
    <w:rsid w:val="00DA6617"/>
    <w:rsid w:val="00DB1104"/>
    <w:rsid w:val="00DC4542"/>
    <w:rsid w:val="00DD0EAF"/>
    <w:rsid w:val="00DD34AE"/>
    <w:rsid w:val="00DD6EFF"/>
    <w:rsid w:val="00DE2CD5"/>
    <w:rsid w:val="00DF62D3"/>
    <w:rsid w:val="00DF7D3A"/>
    <w:rsid w:val="00E0117E"/>
    <w:rsid w:val="00E324FF"/>
    <w:rsid w:val="00E41D66"/>
    <w:rsid w:val="00E61424"/>
    <w:rsid w:val="00E624E2"/>
    <w:rsid w:val="00E7047E"/>
    <w:rsid w:val="00E72168"/>
    <w:rsid w:val="00E761E5"/>
    <w:rsid w:val="00E80102"/>
    <w:rsid w:val="00E900B9"/>
    <w:rsid w:val="00E90FB3"/>
    <w:rsid w:val="00E9369A"/>
    <w:rsid w:val="00EB443D"/>
    <w:rsid w:val="00EB7998"/>
    <w:rsid w:val="00EC2B77"/>
    <w:rsid w:val="00EF00A2"/>
    <w:rsid w:val="00F01EDB"/>
    <w:rsid w:val="00F11600"/>
    <w:rsid w:val="00F12777"/>
    <w:rsid w:val="00F441E7"/>
    <w:rsid w:val="00F46C6D"/>
    <w:rsid w:val="00F4734D"/>
    <w:rsid w:val="00F636D1"/>
    <w:rsid w:val="00F77BDE"/>
    <w:rsid w:val="00F90FD9"/>
    <w:rsid w:val="00F95274"/>
    <w:rsid w:val="00FA3076"/>
    <w:rsid w:val="00FA5235"/>
    <w:rsid w:val="00FB3F85"/>
    <w:rsid w:val="00FB42AD"/>
    <w:rsid w:val="00FF7E6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3535"/>
  <w15:docId w15:val="{7E567ED1-C0E8-314C-9239-0D233578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2CD5"/>
    <w:pPr>
      <w:spacing w:after="60"/>
      <w:jc w:val="both"/>
    </w:pPr>
    <w:rPr>
      <w:rFonts w:ascii="Open Sans" w:eastAsia="Calibri Light" w:hAnsi="Open Sans" w:cs="Calibri Light"/>
      <w:lang w:val="it-IT" w:eastAsia="it-IT" w:bidi="it-IT"/>
    </w:rPr>
  </w:style>
  <w:style w:type="paragraph" w:styleId="Titolo1">
    <w:name w:val="heading 1"/>
    <w:basedOn w:val="Titolo"/>
    <w:next w:val="Normale"/>
    <w:uiPriority w:val="9"/>
    <w:qFormat/>
    <w:rsid w:val="009717F5"/>
    <w:pPr>
      <w:spacing w:before="240" w:after="120"/>
      <w:jc w:val="left"/>
      <w:outlineLvl w:val="0"/>
    </w:pPr>
    <w:rPr>
      <w:i/>
      <w:sz w:val="28"/>
      <w:szCs w:val="28"/>
    </w:rPr>
  </w:style>
  <w:style w:type="paragraph" w:styleId="Titolo2">
    <w:name w:val="heading 2"/>
    <w:basedOn w:val="Titolo1"/>
    <w:next w:val="Normale"/>
    <w:link w:val="Titolo2Carattere"/>
    <w:uiPriority w:val="9"/>
    <w:unhideWhenUsed/>
    <w:qFormat/>
    <w:rsid w:val="00263E5D"/>
    <w:pPr>
      <w:keepNext/>
      <w:keepLines/>
      <w:spacing w:before="360"/>
      <w:outlineLvl w:val="1"/>
    </w:pPr>
    <w:rPr>
      <w:rFonts w:asciiTheme="majorHAnsi" w:hAnsiTheme="majorHAnsi"/>
      <w:color w:val="365F91" w:themeColor="accent1" w:themeShade="BF"/>
      <w:sz w:val="26"/>
      <w:szCs w:val="26"/>
    </w:rPr>
  </w:style>
  <w:style w:type="paragraph" w:styleId="Titolo3">
    <w:name w:val="heading 3"/>
    <w:basedOn w:val="Normale"/>
    <w:next w:val="Normale"/>
    <w:link w:val="Titolo3Carattere"/>
    <w:uiPriority w:val="9"/>
    <w:unhideWhenUsed/>
    <w:qFormat/>
    <w:rsid w:val="004F00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1C4456"/>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F4D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F4D6B"/>
    <w:rPr>
      <w:rFonts w:ascii="Times New Roman" w:eastAsia="Calibri Light" w:hAnsi="Times New Roman" w:cs="Times New Roman"/>
      <w:sz w:val="18"/>
      <w:szCs w:val="18"/>
      <w:lang w:val="it-IT" w:eastAsia="it-IT" w:bidi="it-IT"/>
    </w:rPr>
  </w:style>
  <w:style w:type="paragraph" w:styleId="Intestazione">
    <w:name w:val="header"/>
    <w:basedOn w:val="Normale"/>
    <w:link w:val="IntestazioneCarattere"/>
    <w:uiPriority w:val="99"/>
    <w:unhideWhenUsed/>
    <w:rsid w:val="001C4456"/>
    <w:pPr>
      <w:tabs>
        <w:tab w:val="center" w:pos="4819"/>
        <w:tab w:val="right" w:pos="9638"/>
      </w:tabs>
    </w:pPr>
  </w:style>
  <w:style w:type="character" w:customStyle="1" w:styleId="IntestazioneCarattere">
    <w:name w:val="Intestazione Carattere"/>
    <w:basedOn w:val="Carpredefinitoparagrafo"/>
    <w:link w:val="Intestazione"/>
    <w:uiPriority w:val="99"/>
    <w:rsid w:val="001C4456"/>
    <w:rPr>
      <w:rFonts w:ascii="Calibri Light" w:eastAsia="Calibri Light" w:hAnsi="Calibri Light" w:cs="Calibri Light"/>
      <w:lang w:val="it-IT" w:eastAsia="it-IT" w:bidi="it-IT"/>
    </w:rPr>
  </w:style>
  <w:style w:type="paragraph" w:styleId="Pidipagina">
    <w:name w:val="footer"/>
    <w:basedOn w:val="Normale"/>
    <w:link w:val="PidipaginaCarattere"/>
    <w:uiPriority w:val="99"/>
    <w:unhideWhenUsed/>
    <w:rsid w:val="001C4456"/>
    <w:pPr>
      <w:tabs>
        <w:tab w:val="center" w:pos="4819"/>
        <w:tab w:val="right" w:pos="9638"/>
      </w:tabs>
    </w:pPr>
  </w:style>
  <w:style w:type="character" w:customStyle="1" w:styleId="PidipaginaCarattere">
    <w:name w:val="Piè di pagina Carattere"/>
    <w:basedOn w:val="Carpredefinitoparagrafo"/>
    <w:link w:val="Pidipagina"/>
    <w:uiPriority w:val="99"/>
    <w:rsid w:val="001C4456"/>
    <w:rPr>
      <w:rFonts w:ascii="Calibri Light" w:eastAsia="Calibri Light" w:hAnsi="Calibri Light" w:cs="Calibri Light"/>
      <w:lang w:val="it-IT" w:eastAsia="it-IT" w:bidi="it-IT"/>
    </w:rPr>
  </w:style>
  <w:style w:type="paragraph" w:styleId="Titolo">
    <w:name w:val="Title"/>
    <w:basedOn w:val="Normale"/>
    <w:next w:val="Normale"/>
    <w:link w:val="TitoloCarattere"/>
    <w:uiPriority w:val="10"/>
    <w:qFormat/>
    <w:rsid w:val="001C4456"/>
    <w:pPr>
      <w:spacing w:before="360" w:after="240"/>
      <w:contextualSpacing/>
      <w:jc w:val="center"/>
    </w:pPr>
    <w:rPr>
      <w:rFonts w:ascii="Montserrat" w:eastAsiaTheme="majorEastAsia" w:hAnsi="Montserrat" w:cstheme="majorBidi"/>
      <w:color w:val="0070C0"/>
      <w:spacing w:val="-10"/>
      <w:kern w:val="28"/>
      <w:sz w:val="36"/>
      <w:szCs w:val="56"/>
    </w:rPr>
  </w:style>
  <w:style w:type="character" w:customStyle="1" w:styleId="TitoloCarattere">
    <w:name w:val="Titolo Carattere"/>
    <w:basedOn w:val="Carpredefinitoparagrafo"/>
    <w:link w:val="Titolo"/>
    <w:uiPriority w:val="10"/>
    <w:rsid w:val="001C4456"/>
    <w:rPr>
      <w:rFonts w:ascii="Montserrat" w:eastAsiaTheme="majorEastAsia" w:hAnsi="Montserrat" w:cstheme="majorBidi"/>
      <w:color w:val="0070C0"/>
      <w:spacing w:val="-10"/>
      <w:kern w:val="28"/>
      <w:sz w:val="36"/>
      <w:szCs w:val="56"/>
      <w:lang w:val="it-IT" w:eastAsia="it-IT" w:bidi="it-IT"/>
    </w:rPr>
  </w:style>
  <w:style w:type="character" w:customStyle="1" w:styleId="Titolo2Carattere">
    <w:name w:val="Titolo 2 Carattere"/>
    <w:basedOn w:val="Carpredefinitoparagrafo"/>
    <w:link w:val="Titolo2"/>
    <w:uiPriority w:val="9"/>
    <w:rsid w:val="00263E5D"/>
    <w:rPr>
      <w:rFonts w:asciiTheme="majorHAnsi" w:eastAsiaTheme="majorEastAsia" w:hAnsiTheme="majorHAnsi" w:cstheme="majorBidi"/>
      <w:i/>
      <w:color w:val="365F91" w:themeColor="accent1" w:themeShade="BF"/>
      <w:spacing w:val="-10"/>
      <w:kern w:val="28"/>
      <w:sz w:val="26"/>
      <w:szCs w:val="26"/>
      <w:lang w:val="it-IT" w:eastAsia="it-IT" w:bidi="it-IT"/>
    </w:rPr>
  </w:style>
  <w:style w:type="character" w:customStyle="1" w:styleId="Titolo3Carattere">
    <w:name w:val="Titolo 3 Carattere"/>
    <w:basedOn w:val="Carpredefinitoparagrafo"/>
    <w:link w:val="Titolo3"/>
    <w:uiPriority w:val="9"/>
    <w:rsid w:val="004F0053"/>
    <w:rPr>
      <w:rFonts w:asciiTheme="majorHAnsi" w:eastAsiaTheme="majorEastAsia" w:hAnsiTheme="majorHAnsi" w:cstheme="majorBidi"/>
      <w:color w:val="243F60" w:themeColor="accent1" w:themeShade="7F"/>
      <w:sz w:val="24"/>
      <w:szCs w:val="24"/>
      <w:lang w:val="it-IT" w:eastAsia="it-IT" w:bidi="it-IT"/>
    </w:rPr>
  </w:style>
  <w:style w:type="paragraph" w:styleId="Sommario1">
    <w:name w:val="toc 1"/>
    <w:basedOn w:val="Normale"/>
    <w:next w:val="Normale"/>
    <w:autoRedefine/>
    <w:uiPriority w:val="39"/>
    <w:unhideWhenUsed/>
    <w:rsid w:val="00E324FF"/>
    <w:pPr>
      <w:spacing w:before="360" w:after="360"/>
      <w:jc w:val="left"/>
    </w:pPr>
    <w:rPr>
      <w:rFonts w:asciiTheme="minorHAnsi" w:hAnsiTheme="minorHAnsi" w:cstheme="minorHAnsi"/>
      <w:b/>
      <w:bCs/>
      <w:caps/>
      <w:u w:val="single"/>
    </w:rPr>
  </w:style>
  <w:style w:type="paragraph" w:styleId="Sommario2">
    <w:name w:val="toc 2"/>
    <w:basedOn w:val="Normale"/>
    <w:next w:val="Normale"/>
    <w:autoRedefine/>
    <w:uiPriority w:val="39"/>
    <w:unhideWhenUsed/>
    <w:rsid w:val="00E324FF"/>
    <w:pPr>
      <w:spacing w:after="0"/>
      <w:jc w:val="left"/>
    </w:pPr>
    <w:rPr>
      <w:rFonts w:asciiTheme="minorHAnsi" w:hAnsiTheme="minorHAnsi" w:cstheme="minorHAnsi"/>
      <w:b/>
      <w:bCs/>
      <w:smallCaps/>
    </w:rPr>
  </w:style>
  <w:style w:type="paragraph" w:styleId="Sommario3">
    <w:name w:val="toc 3"/>
    <w:basedOn w:val="Normale"/>
    <w:next w:val="Normale"/>
    <w:autoRedefine/>
    <w:uiPriority w:val="39"/>
    <w:unhideWhenUsed/>
    <w:rsid w:val="00E324FF"/>
    <w:pPr>
      <w:spacing w:after="0"/>
      <w:jc w:val="left"/>
    </w:pPr>
    <w:rPr>
      <w:rFonts w:asciiTheme="minorHAnsi" w:hAnsiTheme="minorHAnsi" w:cstheme="minorHAnsi"/>
      <w:smallCaps/>
    </w:rPr>
  </w:style>
  <w:style w:type="paragraph" w:styleId="Sommario4">
    <w:name w:val="toc 4"/>
    <w:basedOn w:val="Normale"/>
    <w:next w:val="Normale"/>
    <w:autoRedefine/>
    <w:uiPriority w:val="39"/>
    <w:unhideWhenUsed/>
    <w:rsid w:val="00E324FF"/>
    <w:pPr>
      <w:spacing w:after="0"/>
      <w:jc w:val="left"/>
    </w:pPr>
    <w:rPr>
      <w:rFonts w:asciiTheme="minorHAnsi" w:hAnsiTheme="minorHAnsi" w:cstheme="minorHAnsi"/>
    </w:rPr>
  </w:style>
  <w:style w:type="paragraph" w:styleId="Sommario5">
    <w:name w:val="toc 5"/>
    <w:basedOn w:val="Normale"/>
    <w:next w:val="Normale"/>
    <w:autoRedefine/>
    <w:uiPriority w:val="39"/>
    <w:unhideWhenUsed/>
    <w:rsid w:val="00E324FF"/>
    <w:pPr>
      <w:spacing w:after="0"/>
      <w:jc w:val="left"/>
    </w:pPr>
    <w:rPr>
      <w:rFonts w:asciiTheme="minorHAnsi" w:hAnsiTheme="minorHAnsi" w:cstheme="minorHAnsi"/>
    </w:rPr>
  </w:style>
  <w:style w:type="paragraph" w:styleId="Sommario6">
    <w:name w:val="toc 6"/>
    <w:basedOn w:val="Normale"/>
    <w:next w:val="Normale"/>
    <w:autoRedefine/>
    <w:uiPriority w:val="39"/>
    <w:unhideWhenUsed/>
    <w:rsid w:val="00E324FF"/>
    <w:pPr>
      <w:spacing w:after="0"/>
      <w:jc w:val="left"/>
    </w:pPr>
    <w:rPr>
      <w:rFonts w:asciiTheme="minorHAnsi" w:hAnsiTheme="minorHAnsi" w:cstheme="minorHAnsi"/>
    </w:rPr>
  </w:style>
  <w:style w:type="paragraph" w:styleId="Sommario7">
    <w:name w:val="toc 7"/>
    <w:basedOn w:val="Normale"/>
    <w:next w:val="Normale"/>
    <w:autoRedefine/>
    <w:uiPriority w:val="39"/>
    <w:unhideWhenUsed/>
    <w:rsid w:val="00E324FF"/>
    <w:pPr>
      <w:spacing w:after="0"/>
      <w:jc w:val="left"/>
    </w:pPr>
    <w:rPr>
      <w:rFonts w:asciiTheme="minorHAnsi" w:hAnsiTheme="minorHAnsi" w:cstheme="minorHAnsi"/>
    </w:rPr>
  </w:style>
  <w:style w:type="paragraph" w:styleId="Sommario8">
    <w:name w:val="toc 8"/>
    <w:basedOn w:val="Normale"/>
    <w:next w:val="Normale"/>
    <w:autoRedefine/>
    <w:uiPriority w:val="39"/>
    <w:unhideWhenUsed/>
    <w:rsid w:val="00E324FF"/>
    <w:pPr>
      <w:spacing w:after="0"/>
      <w:jc w:val="left"/>
    </w:pPr>
    <w:rPr>
      <w:rFonts w:asciiTheme="minorHAnsi" w:hAnsiTheme="minorHAnsi" w:cstheme="minorHAnsi"/>
    </w:rPr>
  </w:style>
  <w:style w:type="paragraph" w:styleId="Sommario9">
    <w:name w:val="toc 9"/>
    <w:basedOn w:val="Normale"/>
    <w:next w:val="Normale"/>
    <w:autoRedefine/>
    <w:uiPriority w:val="39"/>
    <w:unhideWhenUsed/>
    <w:rsid w:val="00E324FF"/>
    <w:pPr>
      <w:spacing w:after="0"/>
      <w:jc w:val="left"/>
    </w:pPr>
    <w:rPr>
      <w:rFonts w:asciiTheme="minorHAnsi" w:hAnsiTheme="minorHAnsi" w:cstheme="minorHAnsi"/>
    </w:rPr>
  </w:style>
  <w:style w:type="character" w:styleId="Collegamentoipertestuale">
    <w:name w:val="Hyperlink"/>
    <w:basedOn w:val="Carpredefinitoparagrafo"/>
    <w:uiPriority w:val="99"/>
    <w:unhideWhenUsed/>
    <w:rsid w:val="00E324FF"/>
    <w:rPr>
      <w:color w:val="0000FF" w:themeColor="hyperlink"/>
      <w:u w:val="single"/>
    </w:rPr>
  </w:style>
  <w:style w:type="character" w:styleId="Numeropagina">
    <w:name w:val="page number"/>
    <w:basedOn w:val="Carpredefinitoparagrafo"/>
    <w:uiPriority w:val="99"/>
    <w:semiHidden/>
    <w:unhideWhenUsed/>
    <w:rsid w:val="00E324FF"/>
  </w:style>
  <w:style w:type="table" w:styleId="Grigliatabella">
    <w:name w:val="Table Grid"/>
    <w:basedOn w:val="Tabellanormale"/>
    <w:uiPriority w:val="39"/>
    <w:rsid w:val="00D06D85"/>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E1369"/>
    <w:rPr>
      <w:sz w:val="16"/>
      <w:szCs w:val="16"/>
    </w:rPr>
  </w:style>
  <w:style w:type="paragraph" w:styleId="Testocommento">
    <w:name w:val="annotation text"/>
    <w:basedOn w:val="Normale"/>
    <w:link w:val="TestocommentoCarattere"/>
    <w:uiPriority w:val="99"/>
    <w:semiHidden/>
    <w:unhideWhenUsed/>
    <w:rsid w:val="008E1369"/>
    <w:rPr>
      <w:sz w:val="20"/>
      <w:szCs w:val="20"/>
    </w:rPr>
  </w:style>
  <w:style w:type="character" w:customStyle="1" w:styleId="TestocommentoCarattere">
    <w:name w:val="Testo commento Carattere"/>
    <w:basedOn w:val="Carpredefinitoparagrafo"/>
    <w:link w:val="Testocommento"/>
    <w:uiPriority w:val="99"/>
    <w:semiHidden/>
    <w:rsid w:val="008E1369"/>
    <w:rPr>
      <w:rFonts w:ascii="Open Sans" w:eastAsia="Calibri Light" w:hAnsi="Open Sans" w:cs="Calibri Light"/>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E1369"/>
    <w:rPr>
      <w:b/>
      <w:bCs/>
    </w:rPr>
  </w:style>
  <w:style w:type="character" w:customStyle="1" w:styleId="SoggettocommentoCarattere">
    <w:name w:val="Soggetto commento Carattere"/>
    <w:basedOn w:val="TestocommentoCarattere"/>
    <w:link w:val="Soggettocommento"/>
    <w:uiPriority w:val="99"/>
    <w:semiHidden/>
    <w:rsid w:val="008E1369"/>
    <w:rPr>
      <w:rFonts w:ascii="Open Sans" w:eastAsia="Calibri Light" w:hAnsi="Open Sans" w:cs="Calibri Light"/>
      <w:b/>
      <w:bCs/>
      <w:sz w:val="20"/>
      <w:szCs w:val="20"/>
      <w:lang w:val="it-IT" w:eastAsia="it-IT" w:bidi="it-IT"/>
    </w:rPr>
  </w:style>
  <w:style w:type="paragraph" w:styleId="Didascalia">
    <w:name w:val="caption"/>
    <w:basedOn w:val="Normale"/>
    <w:next w:val="Normale"/>
    <w:uiPriority w:val="35"/>
    <w:unhideWhenUsed/>
    <w:qFormat/>
    <w:rsid w:val="0095653E"/>
    <w:pPr>
      <w:spacing w:after="200"/>
    </w:pPr>
    <w:rPr>
      <w:i/>
      <w:iCs/>
      <w:color w:val="1F497D" w:themeColor="text2"/>
      <w:sz w:val="18"/>
      <w:szCs w:val="18"/>
    </w:rPr>
  </w:style>
  <w:style w:type="character" w:styleId="Menzionenonrisolta">
    <w:name w:val="Unresolved Mention"/>
    <w:basedOn w:val="Carpredefinitoparagrafo"/>
    <w:uiPriority w:val="99"/>
    <w:semiHidden/>
    <w:unhideWhenUsed/>
    <w:rsid w:val="00235074"/>
    <w:rPr>
      <w:color w:val="605E5C"/>
      <w:shd w:val="clear" w:color="auto" w:fill="E1DFDD"/>
    </w:rPr>
  </w:style>
  <w:style w:type="table" w:customStyle="1" w:styleId="Tabellaelenco3-colore11">
    <w:name w:val="Tabella elenco 3 - colore 11"/>
    <w:basedOn w:val="Tabellanormale"/>
    <w:uiPriority w:val="48"/>
    <w:rsid w:val="00557312"/>
    <w:pPr>
      <w:widowControl/>
      <w:autoSpaceDE/>
      <w:autoSpaceDN/>
    </w:pPr>
    <w:rPr>
      <w:rFonts w:eastAsiaTheme="minorEastAsia"/>
      <w:sz w:val="24"/>
      <w:szCs w:val="24"/>
      <w:lang w:val="it-IT" w:eastAsia="it-I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1130">
      <w:bodyDiv w:val="1"/>
      <w:marLeft w:val="0"/>
      <w:marRight w:val="0"/>
      <w:marTop w:val="0"/>
      <w:marBottom w:val="0"/>
      <w:divBdr>
        <w:top w:val="none" w:sz="0" w:space="0" w:color="auto"/>
        <w:left w:val="none" w:sz="0" w:space="0" w:color="auto"/>
        <w:bottom w:val="none" w:sz="0" w:space="0" w:color="auto"/>
        <w:right w:val="none" w:sz="0" w:space="0" w:color="auto"/>
      </w:divBdr>
    </w:div>
    <w:div w:id="265507504">
      <w:bodyDiv w:val="1"/>
      <w:marLeft w:val="0"/>
      <w:marRight w:val="0"/>
      <w:marTop w:val="0"/>
      <w:marBottom w:val="0"/>
      <w:divBdr>
        <w:top w:val="none" w:sz="0" w:space="0" w:color="auto"/>
        <w:left w:val="none" w:sz="0" w:space="0" w:color="auto"/>
        <w:bottom w:val="none" w:sz="0" w:space="0" w:color="auto"/>
        <w:right w:val="none" w:sz="0" w:space="0" w:color="auto"/>
      </w:divBdr>
    </w:div>
    <w:div w:id="445925094">
      <w:bodyDiv w:val="1"/>
      <w:marLeft w:val="0"/>
      <w:marRight w:val="0"/>
      <w:marTop w:val="0"/>
      <w:marBottom w:val="0"/>
      <w:divBdr>
        <w:top w:val="none" w:sz="0" w:space="0" w:color="auto"/>
        <w:left w:val="none" w:sz="0" w:space="0" w:color="auto"/>
        <w:bottom w:val="none" w:sz="0" w:space="0" w:color="auto"/>
        <w:right w:val="none" w:sz="0" w:space="0" w:color="auto"/>
      </w:divBdr>
    </w:div>
    <w:div w:id="1061515424">
      <w:bodyDiv w:val="1"/>
      <w:marLeft w:val="0"/>
      <w:marRight w:val="0"/>
      <w:marTop w:val="0"/>
      <w:marBottom w:val="0"/>
      <w:divBdr>
        <w:top w:val="none" w:sz="0" w:space="0" w:color="auto"/>
        <w:left w:val="none" w:sz="0" w:space="0" w:color="auto"/>
        <w:bottom w:val="none" w:sz="0" w:space="0" w:color="auto"/>
        <w:right w:val="none" w:sz="0" w:space="0" w:color="auto"/>
      </w:divBdr>
    </w:div>
    <w:div w:id="1232037814">
      <w:bodyDiv w:val="1"/>
      <w:marLeft w:val="0"/>
      <w:marRight w:val="0"/>
      <w:marTop w:val="0"/>
      <w:marBottom w:val="0"/>
      <w:divBdr>
        <w:top w:val="none" w:sz="0" w:space="0" w:color="auto"/>
        <w:left w:val="none" w:sz="0" w:space="0" w:color="auto"/>
        <w:bottom w:val="none" w:sz="0" w:space="0" w:color="auto"/>
        <w:right w:val="none" w:sz="0" w:space="0" w:color="auto"/>
      </w:divBdr>
    </w:div>
    <w:div w:id="1248231246">
      <w:bodyDiv w:val="1"/>
      <w:marLeft w:val="0"/>
      <w:marRight w:val="0"/>
      <w:marTop w:val="0"/>
      <w:marBottom w:val="0"/>
      <w:divBdr>
        <w:top w:val="none" w:sz="0" w:space="0" w:color="auto"/>
        <w:left w:val="none" w:sz="0" w:space="0" w:color="auto"/>
        <w:bottom w:val="none" w:sz="0" w:space="0" w:color="auto"/>
        <w:right w:val="none" w:sz="0" w:space="0" w:color="auto"/>
      </w:divBdr>
    </w:div>
    <w:div w:id="150778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reg-maritime.eu/fr/web/pc-marittimo/programma/zo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ur-lex.europa.eu/legal-content/FR/TXT/HTML/?uri=CELEX:32003H0361&amp;from=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itimeit-fr.net/documents/12943000/12974116/Glossaire_FR_1.pdf/523bffec-291f-4a7f-a988-eb9176e0070a" TargetMode="External"/><Relationship Id="rId5" Type="http://schemas.openxmlformats.org/officeDocument/2006/relationships/footnotes" Target="footnotes.xml"/><Relationship Id="rId15" Type="http://schemas.openxmlformats.org/officeDocument/2006/relationships/hyperlink" Target="mailto:cersaa.amministrazione@pcert.postecert.it" TargetMode="External"/><Relationship Id="rId10" Type="http://schemas.openxmlformats.org/officeDocument/2006/relationships/hyperlink" Target="http://www.maritimeit-fr.net/documents/12943000/12974116/Glossaire_FR_1.pdf/523bffec-291f-4a7f-a988-eb9176e0070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mministrazione@pec.csimprese.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4064</Words>
  <Characters>23165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Pasqualini</dc:creator>
  <cp:lastModifiedBy>FRANCESCA ROSSELLO</cp:lastModifiedBy>
  <cp:revision>3</cp:revision>
  <cp:lastPrinted>2020-07-09T11:06:00Z</cp:lastPrinted>
  <dcterms:created xsi:type="dcterms:W3CDTF">2021-06-25T07:46:00Z</dcterms:created>
  <dcterms:modified xsi:type="dcterms:W3CDTF">2021-07-25T15:40:00Z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2020-07-09T00:00:00Z</vt:filetime>
  </property>
</Properties>
</file>